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13FE6" w:rsidRDefault="00213FE6" w:rsidP="00213FE6">
      <w:pPr>
        <w:spacing w:after="40"/>
        <w:jc w:val="both"/>
        <w:rPr>
          <w:rFonts w:ascii="Arial" w:hAnsi="Arial" w:cs="Arial"/>
          <w:color w:val="4F81BD"/>
        </w:rPr>
      </w:pPr>
      <w:r w:rsidRPr="00CE4AB9">
        <w:rPr>
          <w:rFonts w:ascii="Arial" w:hAnsi="Arial" w:cs="Arial"/>
          <w:noProof/>
          <w:color w:val="4F81BD"/>
          <w:lang w:eastAsia="en-GB"/>
        </w:rPr>
        <w:drawing>
          <wp:anchor distT="0" distB="0" distL="114300" distR="114300" simplePos="0" relativeHeight="251659264" behindDoc="1" locked="0" layoutInCell="1" allowOverlap="1" wp14:anchorId="024E3C78" wp14:editId="0E727321">
            <wp:simplePos x="0" y="0"/>
            <wp:positionH relativeFrom="column">
              <wp:posOffset>5080</wp:posOffset>
            </wp:positionH>
            <wp:positionV relativeFrom="paragraph">
              <wp:posOffset>-7620</wp:posOffset>
            </wp:positionV>
            <wp:extent cx="827405" cy="1282700"/>
            <wp:effectExtent l="0" t="0" r="0" b="0"/>
            <wp:wrapTight wrapText="bothSides">
              <wp:wrapPolygon edited="0">
                <wp:start x="0" y="0"/>
                <wp:lineTo x="0" y="21172"/>
                <wp:lineTo x="20887" y="21172"/>
                <wp:lineTo x="2088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4167" r="11667" b="7143"/>
                    <a:stretch>
                      <a:fillRect/>
                    </a:stretch>
                  </pic:blipFill>
                  <pic:spPr bwMode="auto">
                    <a:xfrm>
                      <a:off x="0" y="0"/>
                      <a:ext cx="827405"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 xml:space="preserve">Harbour </w:t>
      </w:r>
      <w:r>
        <w:rPr>
          <w:rFonts w:ascii="Arial" w:hAnsi="Arial" w:cs="Arial"/>
          <w:color w:val="4F81BD"/>
        </w:rPr>
        <w:t>Master and CEO</w:t>
      </w:r>
    </w:p>
    <w:p w:rsidR="00213FE6" w:rsidRPr="00CE4AB9" w:rsidRDefault="00213FE6" w:rsidP="00213FE6">
      <w:pPr>
        <w:spacing w:after="40"/>
        <w:ind w:left="5040" w:firstLine="720"/>
        <w:jc w:val="both"/>
        <w:rPr>
          <w:rFonts w:ascii="Arial" w:hAnsi="Arial" w:cs="Arial"/>
          <w:color w:val="4F81BD"/>
        </w:rPr>
      </w:pPr>
      <w:r>
        <w:rPr>
          <w:rFonts w:ascii="Arial" w:hAnsi="Arial" w:cs="Arial"/>
          <w:color w:val="4F81BD"/>
        </w:rPr>
        <w:t>Teignmouth Harbour Commission</w:t>
      </w:r>
    </w:p>
    <w:p w:rsidR="00213FE6" w:rsidRPr="00CE4AB9" w:rsidRDefault="00213FE6" w:rsidP="00213FE6">
      <w:pPr>
        <w:spacing w:after="0"/>
        <w:rPr>
          <w:rFonts w:ascii="Arial" w:hAnsi="Arial" w:cs="Arial"/>
          <w:color w:val="4F81BD"/>
        </w:rPr>
      </w:pP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2nd Floor, ABP Port Office</w:t>
      </w:r>
    </w:p>
    <w:p w:rsidR="00213FE6" w:rsidRPr="00CE4AB9" w:rsidRDefault="00213FE6" w:rsidP="00213FE6">
      <w:pPr>
        <w:spacing w:after="0"/>
        <w:rPr>
          <w:rFonts w:ascii="Arial" w:hAnsi="Arial" w:cs="Arial"/>
          <w:color w:val="4F81BD"/>
        </w:rPr>
      </w:pP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Old Quay Road</w:t>
      </w:r>
    </w:p>
    <w:p w:rsidR="00213FE6" w:rsidRPr="00CE4AB9" w:rsidRDefault="00213FE6" w:rsidP="00213FE6">
      <w:pPr>
        <w:spacing w:after="0"/>
        <w:rPr>
          <w:rFonts w:ascii="Arial" w:hAnsi="Arial" w:cs="Arial"/>
          <w:color w:val="4F81BD"/>
        </w:rPr>
      </w:pP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Teignmouth</w:t>
      </w:r>
    </w:p>
    <w:p w:rsidR="00213FE6" w:rsidRPr="00CE4AB9" w:rsidRDefault="00213FE6" w:rsidP="00213FE6">
      <w:pPr>
        <w:spacing w:after="0"/>
        <w:rPr>
          <w:rFonts w:ascii="Arial" w:hAnsi="Arial" w:cs="Arial"/>
          <w:color w:val="4F81BD"/>
        </w:rPr>
      </w:pP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TQ14 8ES</w:t>
      </w:r>
    </w:p>
    <w:p w:rsidR="00213FE6" w:rsidRPr="00CE4AB9" w:rsidRDefault="00213FE6" w:rsidP="00213FE6">
      <w:pPr>
        <w:spacing w:after="0"/>
        <w:rPr>
          <w:rFonts w:ascii="Arial" w:hAnsi="Arial" w:cs="Arial"/>
          <w:color w:val="4F81BD"/>
        </w:rPr>
      </w:pPr>
      <w:r w:rsidRPr="00CE4AB9">
        <w:rPr>
          <w:rFonts w:ascii="Arial" w:hAnsi="Arial" w:cs="Arial"/>
          <w:color w:val="4F81BD"/>
        </w:rPr>
        <w:t xml:space="preserve"> </w:t>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r>
      <w:r w:rsidRPr="00CE4AB9">
        <w:rPr>
          <w:rFonts w:ascii="Arial" w:hAnsi="Arial" w:cs="Arial"/>
          <w:color w:val="4F81BD"/>
        </w:rPr>
        <w:tab/>
        <w:t xml:space="preserve">01626 773165 </w:t>
      </w:r>
    </w:p>
    <w:p w:rsidR="00213FE6" w:rsidRPr="00CE4AB9" w:rsidRDefault="00213FE6" w:rsidP="00213FE6">
      <w:pPr>
        <w:spacing w:after="0"/>
        <w:rPr>
          <w:rFonts w:ascii="Arial" w:hAnsi="Arial" w:cs="Arial"/>
          <w:color w:val="4F81BD"/>
        </w:rPr>
      </w:pPr>
      <w:r>
        <w:rPr>
          <w:rFonts w:ascii="Arial" w:hAnsi="Arial" w:cs="Arial"/>
          <w:color w:val="4F81BD"/>
        </w:rPr>
        <w:tab/>
      </w:r>
      <w:r>
        <w:rPr>
          <w:rFonts w:ascii="Arial" w:hAnsi="Arial" w:cs="Arial"/>
          <w:color w:val="4F81BD"/>
        </w:rPr>
        <w:tab/>
      </w:r>
      <w:r>
        <w:rPr>
          <w:rFonts w:ascii="Arial" w:hAnsi="Arial" w:cs="Arial"/>
          <w:color w:val="4F81BD"/>
        </w:rPr>
        <w:tab/>
      </w:r>
      <w:r>
        <w:rPr>
          <w:rFonts w:ascii="Arial" w:hAnsi="Arial" w:cs="Arial"/>
          <w:color w:val="4F81BD"/>
        </w:rPr>
        <w:tab/>
      </w:r>
      <w:r>
        <w:rPr>
          <w:rFonts w:ascii="Arial" w:hAnsi="Arial" w:cs="Arial"/>
          <w:color w:val="4F81BD"/>
        </w:rPr>
        <w:tab/>
      </w:r>
      <w:r w:rsidRPr="00CE4AB9">
        <w:rPr>
          <w:rFonts w:ascii="Arial" w:hAnsi="Arial" w:cs="Arial"/>
          <w:color w:val="4F81BD"/>
        </w:rPr>
        <w:tab/>
      </w:r>
      <w:r>
        <w:rPr>
          <w:rFonts w:ascii="Arial" w:hAnsi="Arial" w:cs="Arial"/>
          <w:color w:val="4F81BD"/>
        </w:rPr>
        <w:tab/>
      </w:r>
      <w:r>
        <w:rPr>
          <w:rFonts w:ascii="Arial" w:hAnsi="Arial" w:cs="Arial"/>
          <w:color w:val="4F81BD"/>
        </w:rPr>
        <w:tab/>
      </w:r>
      <w:hyperlink r:id="rId8" w:history="1">
        <w:r w:rsidRPr="003279E9">
          <w:rPr>
            <w:rStyle w:val="Hyperlink"/>
            <w:rFonts w:ascii="Arial" w:hAnsi="Arial" w:cs="Arial"/>
          </w:rPr>
          <w:t>thc@teignmouthharbour.com</w:t>
        </w:r>
      </w:hyperlink>
    </w:p>
    <w:p w:rsidR="00213FE6" w:rsidRPr="00CE4AB9" w:rsidRDefault="00213FE6" w:rsidP="00213FE6">
      <w:pPr>
        <w:spacing w:after="0"/>
        <w:rPr>
          <w:rFonts w:ascii="Arial" w:hAnsi="Arial" w:cs="Arial"/>
          <w:color w:val="4F81BD"/>
        </w:rPr>
      </w:pPr>
    </w:p>
    <w:p w:rsidR="00213FE6" w:rsidRDefault="00815130" w:rsidP="00213FE6">
      <w:pPr>
        <w:spacing w:after="0"/>
        <w:rPr>
          <w:rFonts w:ascii="Arial" w:hAnsi="Arial" w:cs="Arial"/>
          <w:color w:val="4F81BD"/>
        </w:rPr>
      </w:pPr>
      <w:r>
        <w:rPr>
          <w:rFonts w:ascii="Arial" w:hAnsi="Arial" w:cs="Arial"/>
          <w:color w:val="4F81BD"/>
        </w:rPr>
        <w:t xml:space="preserve">24 Mar </w:t>
      </w:r>
      <w:r w:rsidR="00213FE6">
        <w:rPr>
          <w:rFonts w:ascii="Arial" w:hAnsi="Arial" w:cs="Arial"/>
          <w:color w:val="4F81BD"/>
        </w:rPr>
        <w:t>22</w:t>
      </w:r>
    </w:p>
    <w:p w:rsidR="002A1233" w:rsidRPr="00213FE6" w:rsidRDefault="008B2AEC">
      <w:pPr>
        <w:rPr>
          <w:rFonts w:ascii="Arial" w:hAnsi="Arial" w:cs="Arial"/>
          <w:b/>
        </w:rPr>
      </w:pPr>
    </w:p>
    <w:p w:rsidR="00213FE6" w:rsidRDefault="00213FE6">
      <w:pPr>
        <w:rPr>
          <w:rFonts w:ascii="Arial" w:hAnsi="Arial" w:cs="Arial"/>
          <w:b/>
        </w:rPr>
      </w:pPr>
      <w:r w:rsidRPr="00213FE6">
        <w:rPr>
          <w:rFonts w:ascii="Arial" w:hAnsi="Arial" w:cs="Arial"/>
          <w:b/>
        </w:rPr>
        <w:t>TEIGNMOUTH HARBOUR CONSULTATIVE BODY - RULES AND PROCEDURES</w:t>
      </w:r>
      <w:r>
        <w:rPr>
          <w:rFonts w:ascii="Arial" w:hAnsi="Arial" w:cs="Arial"/>
          <w:b/>
        </w:rPr>
        <w:t xml:space="preserve"> (DRAFT)</w:t>
      </w:r>
    </w:p>
    <w:p w:rsidR="00213FE6" w:rsidRDefault="00213FE6">
      <w:pPr>
        <w:rPr>
          <w:rFonts w:ascii="Arial" w:hAnsi="Arial" w:cs="Arial"/>
          <w:b/>
        </w:rPr>
      </w:pPr>
      <w:r>
        <w:rPr>
          <w:rFonts w:ascii="Arial" w:hAnsi="Arial" w:cs="Arial"/>
          <w:b/>
        </w:rPr>
        <w:t>Purpose</w:t>
      </w:r>
    </w:p>
    <w:p w:rsidR="00213FE6" w:rsidRPr="00213FE6" w:rsidRDefault="00213FE6" w:rsidP="00213FE6">
      <w:pPr>
        <w:rPr>
          <w:rFonts w:ascii="Arial" w:hAnsi="Arial" w:cs="Arial"/>
        </w:rPr>
      </w:pPr>
      <w:r>
        <w:rPr>
          <w:rFonts w:ascii="Arial" w:hAnsi="Arial" w:cs="Arial"/>
          <w:bCs/>
          <w:iCs/>
        </w:rPr>
        <w:t>1.</w:t>
      </w:r>
      <w:r>
        <w:rPr>
          <w:rFonts w:ascii="Arial" w:hAnsi="Arial" w:cs="Arial"/>
          <w:bCs/>
          <w:iCs/>
        </w:rPr>
        <w:tab/>
      </w:r>
      <w:r w:rsidR="00CC2361">
        <w:rPr>
          <w:rFonts w:ascii="Arial" w:hAnsi="Arial" w:cs="Arial"/>
          <w:bCs/>
          <w:iCs/>
        </w:rPr>
        <w:t>There are a number of source documents that help to understand what a consultative group is for and provides guidance. The first of which is the Department for Transports own guidance for Trust Ports</w:t>
      </w:r>
      <w:r w:rsidR="00CC2361">
        <w:rPr>
          <w:rStyle w:val="FootnoteReference"/>
          <w:b/>
          <w:bCs/>
          <w:i/>
          <w:iCs/>
        </w:rPr>
        <w:footnoteReference w:id="1"/>
      </w:r>
      <w:r w:rsidR="00CC2361">
        <w:rPr>
          <w:rFonts w:ascii="Arial" w:hAnsi="Arial" w:cs="Arial"/>
          <w:bCs/>
          <w:iCs/>
        </w:rPr>
        <w:t xml:space="preserve"> where it discusses principles, engagements and benefits and the relevant section can be found at Annex A.. However more specifically the </w:t>
      </w:r>
      <w:r w:rsidRPr="00213FE6">
        <w:rPr>
          <w:rFonts w:ascii="Arial" w:hAnsi="Arial" w:cs="Arial"/>
          <w:bCs/>
          <w:iCs/>
        </w:rPr>
        <w:t xml:space="preserve">legal framework for establishing and engaging with a consultative body </w:t>
      </w:r>
      <w:r w:rsidR="00CC2361">
        <w:rPr>
          <w:rFonts w:ascii="Arial" w:hAnsi="Arial" w:cs="Arial"/>
          <w:bCs/>
          <w:iCs/>
        </w:rPr>
        <w:t xml:space="preserve">in Teignmouth </w:t>
      </w:r>
      <w:r w:rsidRPr="00213FE6">
        <w:rPr>
          <w:rFonts w:ascii="Arial" w:hAnsi="Arial" w:cs="Arial"/>
          <w:bCs/>
          <w:iCs/>
        </w:rPr>
        <w:t>sits in the</w:t>
      </w:r>
      <w:r w:rsidRPr="00213FE6">
        <w:rPr>
          <w:rFonts w:ascii="Arial" w:hAnsi="Arial" w:cs="Arial"/>
          <w:b/>
          <w:bCs/>
          <w:iCs/>
        </w:rPr>
        <w:t xml:space="preserve"> 2003 Te</w:t>
      </w:r>
      <w:r w:rsidR="00E906FB">
        <w:rPr>
          <w:rFonts w:ascii="Arial" w:hAnsi="Arial" w:cs="Arial"/>
          <w:b/>
          <w:bCs/>
          <w:iCs/>
        </w:rPr>
        <w:t>ignmouth Harbour Revision Order</w:t>
      </w:r>
      <w:r w:rsidRPr="00213FE6">
        <w:rPr>
          <w:rFonts w:ascii="Arial" w:hAnsi="Arial" w:cs="Arial"/>
          <w:b/>
          <w:bCs/>
          <w:iCs/>
        </w:rPr>
        <w:t xml:space="preserve"> No. 2574 </w:t>
      </w:r>
      <w:r w:rsidRPr="00213FE6">
        <w:rPr>
          <w:rFonts w:ascii="Arial" w:hAnsi="Arial" w:cs="Arial"/>
          <w:bCs/>
          <w:iCs/>
        </w:rPr>
        <w:t>under se</w:t>
      </w:r>
      <w:r w:rsidRPr="00213FE6">
        <w:rPr>
          <w:rFonts w:ascii="Arial" w:hAnsi="Arial" w:cs="Arial"/>
        </w:rPr>
        <w:t>ction 14 and states:</w:t>
      </w:r>
    </w:p>
    <w:p w:rsidR="00213FE6" w:rsidRPr="00213FE6" w:rsidRDefault="00213FE6" w:rsidP="00213FE6">
      <w:pPr>
        <w:ind w:left="720"/>
        <w:rPr>
          <w:rFonts w:ascii="Arial" w:hAnsi="Arial" w:cs="Arial"/>
        </w:rPr>
      </w:pPr>
      <w:r w:rsidRPr="00213FE6">
        <w:rPr>
          <w:rFonts w:ascii="Arial" w:hAnsi="Arial" w:cs="Arial"/>
        </w:rPr>
        <w:t xml:space="preserve">(1) The Commissioners </w:t>
      </w:r>
      <w:r w:rsidRPr="00213FE6">
        <w:rPr>
          <w:rFonts w:ascii="Arial" w:hAnsi="Arial" w:cs="Arial"/>
          <w:b/>
        </w:rPr>
        <w:t>shall establish one or more consultative body</w:t>
      </w:r>
      <w:r w:rsidRPr="00213FE6">
        <w:rPr>
          <w:rFonts w:ascii="Arial" w:hAnsi="Arial" w:cs="Arial"/>
        </w:rPr>
        <w:t xml:space="preserve"> or bodies which the Commissioners shall consult on all matters substantially affecting the management, maintenance, improvement, conservation, protection or regulation of the harbour and its navigation. </w:t>
      </w:r>
    </w:p>
    <w:p w:rsidR="00213FE6" w:rsidRPr="00213FE6" w:rsidRDefault="00213FE6" w:rsidP="00213FE6">
      <w:pPr>
        <w:ind w:left="720"/>
        <w:rPr>
          <w:rFonts w:ascii="Arial" w:hAnsi="Arial" w:cs="Arial"/>
        </w:rPr>
      </w:pPr>
      <w:r w:rsidRPr="00213FE6">
        <w:rPr>
          <w:rFonts w:ascii="Arial" w:hAnsi="Arial" w:cs="Arial"/>
        </w:rPr>
        <w:t xml:space="preserve">(2) The Commissioners </w:t>
      </w:r>
      <w:r w:rsidRPr="00213FE6">
        <w:rPr>
          <w:rFonts w:ascii="Arial" w:hAnsi="Arial" w:cs="Arial"/>
          <w:b/>
        </w:rPr>
        <w:t>shall make arrangements for</w:t>
      </w:r>
      <w:r w:rsidRPr="00213FE6">
        <w:rPr>
          <w:rFonts w:ascii="Arial" w:hAnsi="Arial" w:cs="Arial"/>
        </w:rPr>
        <w:t xml:space="preserve"> every such consultative body to meet not less than twice a year. </w:t>
      </w:r>
    </w:p>
    <w:p w:rsidR="00213FE6" w:rsidRPr="00213FE6" w:rsidRDefault="00213FE6" w:rsidP="00213FE6">
      <w:pPr>
        <w:ind w:left="720"/>
        <w:rPr>
          <w:rFonts w:ascii="Arial" w:hAnsi="Arial" w:cs="Arial"/>
        </w:rPr>
      </w:pPr>
      <w:r w:rsidRPr="00213FE6">
        <w:rPr>
          <w:rFonts w:ascii="Arial" w:hAnsi="Arial" w:cs="Arial"/>
        </w:rPr>
        <w:t xml:space="preserve">(3) The Commissioners </w:t>
      </w:r>
      <w:r w:rsidRPr="00213FE6">
        <w:rPr>
          <w:rFonts w:ascii="Arial" w:hAnsi="Arial" w:cs="Arial"/>
          <w:b/>
        </w:rPr>
        <w:t>shall take into consideration</w:t>
      </w:r>
      <w:r w:rsidRPr="00213FE6">
        <w:rPr>
          <w:rFonts w:ascii="Arial" w:hAnsi="Arial" w:cs="Arial"/>
        </w:rPr>
        <w:t xml:space="preserve"> any matter, recommendation or representation which may from time to time be referred or made to them by such a consultative body whether or not that consultative body has been consulted by the Commissioners on the matter, recommendation or representation so referred or made. </w:t>
      </w:r>
    </w:p>
    <w:p w:rsidR="00213FE6" w:rsidRPr="00213FE6" w:rsidRDefault="00213FE6" w:rsidP="00213FE6">
      <w:pPr>
        <w:ind w:left="720"/>
        <w:rPr>
          <w:rFonts w:ascii="Arial" w:hAnsi="Arial" w:cs="Arial"/>
        </w:rPr>
      </w:pPr>
      <w:r w:rsidRPr="00213FE6">
        <w:rPr>
          <w:rFonts w:ascii="Arial" w:hAnsi="Arial" w:cs="Arial"/>
        </w:rPr>
        <w:t xml:space="preserve">(4) The consultative body or bodies established pursuant to this article shall consist of such number or numbers of persons appointed by the Commissioners as the Commissioners shall from time to time consider appropriate being persons who, in the opinion of the Commissioners, are </w:t>
      </w:r>
      <w:r w:rsidRPr="00213FE6">
        <w:rPr>
          <w:rFonts w:ascii="Arial" w:hAnsi="Arial" w:cs="Arial"/>
          <w:b/>
        </w:rPr>
        <w:t>representative of persons having an interest in the functioning of the harbour</w:t>
      </w:r>
      <w:r w:rsidRPr="00213FE6">
        <w:rPr>
          <w:rFonts w:ascii="Arial" w:hAnsi="Arial" w:cs="Arial"/>
        </w:rPr>
        <w:t xml:space="preserve">. </w:t>
      </w:r>
    </w:p>
    <w:p w:rsidR="00213FE6" w:rsidRPr="00213FE6" w:rsidRDefault="00213FE6" w:rsidP="00213FE6">
      <w:pPr>
        <w:ind w:left="720"/>
        <w:rPr>
          <w:rFonts w:ascii="Arial" w:hAnsi="Arial" w:cs="Arial"/>
          <w:b/>
        </w:rPr>
      </w:pPr>
      <w:r w:rsidRPr="00213FE6">
        <w:rPr>
          <w:rFonts w:ascii="Arial" w:hAnsi="Arial" w:cs="Arial"/>
        </w:rPr>
        <w:t xml:space="preserve">(5) Any such consultative body may determine its </w:t>
      </w:r>
      <w:r w:rsidRPr="00213FE6">
        <w:rPr>
          <w:rFonts w:ascii="Arial" w:hAnsi="Arial" w:cs="Arial"/>
          <w:b/>
        </w:rPr>
        <w:t xml:space="preserve">own quorum and procedure and shall appoint a chairman. </w:t>
      </w:r>
    </w:p>
    <w:p w:rsidR="00213FE6" w:rsidRPr="00213FE6" w:rsidRDefault="00213FE6" w:rsidP="00213FE6">
      <w:pPr>
        <w:ind w:left="720"/>
        <w:rPr>
          <w:rFonts w:ascii="Arial" w:hAnsi="Arial" w:cs="Arial"/>
        </w:rPr>
      </w:pPr>
      <w:r w:rsidRPr="00213FE6">
        <w:rPr>
          <w:rFonts w:ascii="Arial" w:hAnsi="Arial" w:cs="Arial"/>
        </w:rPr>
        <w:t xml:space="preserve">(6) An individual member of a consultative body may, on giving notice in writing to the chairman of that body, </w:t>
      </w:r>
      <w:r w:rsidRPr="00213FE6">
        <w:rPr>
          <w:rFonts w:ascii="Arial" w:hAnsi="Arial" w:cs="Arial"/>
          <w:b/>
        </w:rPr>
        <w:t>send a substitute</w:t>
      </w:r>
      <w:r w:rsidRPr="00213FE6">
        <w:rPr>
          <w:rFonts w:ascii="Arial" w:hAnsi="Arial" w:cs="Arial"/>
        </w:rPr>
        <w:t xml:space="preserve"> to any meeting of the body. </w:t>
      </w:r>
    </w:p>
    <w:p w:rsidR="00213FE6" w:rsidRPr="00213FE6" w:rsidRDefault="00213FE6" w:rsidP="00213FE6">
      <w:pPr>
        <w:ind w:left="720"/>
        <w:rPr>
          <w:rFonts w:ascii="Arial" w:hAnsi="Arial" w:cs="Arial"/>
        </w:rPr>
      </w:pPr>
      <w:r w:rsidRPr="00213FE6">
        <w:rPr>
          <w:rFonts w:ascii="Arial" w:hAnsi="Arial" w:cs="Arial"/>
        </w:rPr>
        <w:t xml:space="preserve">(7) A member of a consultative body </w:t>
      </w:r>
      <w:r w:rsidRPr="00213FE6">
        <w:rPr>
          <w:rFonts w:ascii="Arial" w:hAnsi="Arial" w:cs="Arial"/>
          <w:b/>
        </w:rPr>
        <w:t>shall hold office for the period of three years</w:t>
      </w:r>
      <w:r w:rsidRPr="00213FE6">
        <w:rPr>
          <w:rFonts w:ascii="Arial" w:hAnsi="Arial" w:cs="Arial"/>
        </w:rPr>
        <w:t xml:space="preserve"> from the date of his appointment and at the end of the period shall be eligible for re-appointment. </w:t>
      </w:r>
    </w:p>
    <w:p w:rsidR="00E906FB" w:rsidRDefault="00213FE6" w:rsidP="00815130">
      <w:pPr>
        <w:ind w:left="720"/>
        <w:rPr>
          <w:rFonts w:ascii="Arial" w:hAnsi="Arial" w:cs="Arial"/>
        </w:rPr>
      </w:pPr>
      <w:r w:rsidRPr="00213FE6">
        <w:rPr>
          <w:rFonts w:ascii="Arial" w:hAnsi="Arial" w:cs="Arial"/>
        </w:rPr>
        <w:t>(8) A member of a consultative body may resign his office at any time by notice in writing given to the chief executive.</w:t>
      </w:r>
    </w:p>
    <w:p w:rsidR="0050471B" w:rsidRDefault="0050471B" w:rsidP="00CC2361">
      <w:pPr>
        <w:rPr>
          <w:rFonts w:ascii="Arial" w:hAnsi="Arial" w:cs="Arial"/>
          <w:b/>
        </w:rPr>
      </w:pPr>
    </w:p>
    <w:p w:rsidR="00060F5E" w:rsidRDefault="00060F5E" w:rsidP="00CC2361">
      <w:pPr>
        <w:rPr>
          <w:rFonts w:ascii="Arial" w:hAnsi="Arial" w:cs="Arial"/>
          <w:b/>
        </w:rPr>
      </w:pPr>
    </w:p>
    <w:p w:rsidR="0050471B" w:rsidRPr="00060F5E" w:rsidRDefault="0050471B" w:rsidP="00CC2361">
      <w:pPr>
        <w:rPr>
          <w:rFonts w:ascii="Arial" w:hAnsi="Arial" w:cs="Arial"/>
          <w:b/>
        </w:rPr>
      </w:pPr>
      <w:r w:rsidRPr="0050471B">
        <w:rPr>
          <w:rFonts w:ascii="Arial" w:hAnsi="Arial" w:cs="Arial"/>
          <w:b/>
        </w:rPr>
        <w:lastRenderedPageBreak/>
        <w:t xml:space="preserve">Rules and Procedures </w:t>
      </w:r>
    </w:p>
    <w:p w:rsidR="00815130" w:rsidRDefault="00CC2361" w:rsidP="00CC2361">
      <w:pPr>
        <w:rPr>
          <w:rFonts w:ascii="Arial" w:hAnsi="Arial" w:cs="Arial"/>
        </w:rPr>
      </w:pPr>
      <w:r>
        <w:rPr>
          <w:rFonts w:ascii="Arial" w:hAnsi="Arial" w:cs="Arial"/>
        </w:rPr>
        <w:t>2.</w:t>
      </w:r>
      <w:r>
        <w:rPr>
          <w:rFonts w:ascii="Arial" w:hAnsi="Arial" w:cs="Arial"/>
        </w:rPr>
        <w:tab/>
      </w:r>
      <w:r w:rsidR="00815130">
        <w:rPr>
          <w:rFonts w:ascii="Arial" w:hAnsi="Arial" w:cs="Arial"/>
        </w:rPr>
        <w:t>The</w:t>
      </w:r>
      <w:r w:rsidR="0050471B">
        <w:rPr>
          <w:rFonts w:ascii="Arial" w:hAnsi="Arial" w:cs="Arial"/>
        </w:rPr>
        <w:t xml:space="preserve"> rules and procedures</w:t>
      </w:r>
      <w:r w:rsidR="00815130">
        <w:rPr>
          <w:rFonts w:ascii="Arial" w:hAnsi="Arial" w:cs="Arial"/>
        </w:rPr>
        <w:t xml:space="preserve"> were last formally endorsed on 29 Jan 04 by the then Clerk and include the following:</w:t>
      </w:r>
    </w:p>
    <w:p w:rsidR="00815130" w:rsidRPr="00060F5E" w:rsidRDefault="00815130" w:rsidP="00815130">
      <w:pPr>
        <w:pStyle w:val="ListParagraph"/>
        <w:numPr>
          <w:ilvl w:val="0"/>
          <w:numId w:val="3"/>
        </w:numPr>
        <w:rPr>
          <w:rFonts w:ascii="Arial" w:hAnsi="Arial" w:cs="Arial"/>
          <w:b/>
        </w:rPr>
      </w:pPr>
      <w:r w:rsidRPr="00060F5E">
        <w:rPr>
          <w:rFonts w:ascii="Arial" w:hAnsi="Arial" w:cs="Arial"/>
          <w:b/>
        </w:rPr>
        <w:t>Officers</w:t>
      </w:r>
    </w:p>
    <w:p w:rsidR="00815130" w:rsidRPr="00060F5E" w:rsidRDefault="00815130" w:rsidP="00815130">
      <w:pPr>
        <w:pStyle w:val="ListParagraph"/>
        <w:numPr>
          <w:ilvl w:val="1"/>
          <w:numId w:val="3"/>
        </w:numPr>
        <w:rPr>
          <w:rFonts w:ascii="Arial" w:hAnsi="Arial" w:cs="Arial"/>
        </w:rPr>
      </w:pPr>
      <w:r w:rsidRPr="00060F5E">
        <w:rPr>
          <w:rFonts w:ascii="Arial" w:hAnsi="Arial" w:cs="Arial"/>
        </w:rPr>
        <w:t>T</w:t>
      </w:r>
      <w:r w:rsidR="00CC78AE" w:rsidRPr="00060F5E">
        <w:rPr>
          <w:rFonts w:ascii="Arial" w:hAnsi="Arial" w:cs="Arial"/>
        </w:rPr>
        <w:t>here should be a Chairperson and V</w:t>
      </w:r>
      <w:r w:rsidRPr="00060F5E">
        <w:rPr>
          <w:rFonts w:ascii="Arial" w:hAnsi="Arial" w:cs="Arial"/>
        </w:rPr>
        <w:t>ice</w:t>
      </w:r>
      <w:r w:rsidR="00CC78AE" w:rsidRPr="00060F5E">
        <w:rPr>
          <w:rFonts w:ascii="Arial" w:hAnsi="Arial" w:cs="Arial"/>
        </w:rPr>
        <w:t>-Chair</w:t>
      </w:r>
      <w:r w:rsidRPr="00060F5E">
        <w:rPr>
          <w:rFonts w:ascii="Arial" w:hAnsi="Arial" w:cs="Arial"/>
        </w:rPr>
        <w:t xml:space="preserve"> appointed for a period of one year.</w:t>
      </w:r>
    </w:p>
    <w:p w:rsidR="00815130" w:rsidRPr="00060F5E" w:rsidRDefault="00815130" w:rsidP="00815130">
      <w:pPr>
        <w:pStyle w:val="ListParagraph"/>
        <w:numPr>
          <w:ilvl w:val="1"/>
          <w:numId w:val="3"/>
        </w:numPr>
        <w:rPr>
          <w:rFonts w:ascii="Arial" w:hAnsi="Arial" w:cs="Arial"/>
        </w:rPr>
      </w:pPr>
      <w:r w:rsidRPr="00060F5E">
        <w:rPr>
          <w:rFonts w:ascii="Arial" w:hAnsi="Arial" w:cs="Arial"/>
        </w:rPr>
        <w:t>Any casual vacancy arising during the course of that year may be filled by a temporary appointment at the next meeting.</w:t>
      </w:r>
    </w:p>
    <w:p w:rsidR="00815130" w:rsidRPr="00060F5E" w:rsidRDefault="00CC78AE" w:rsidP="00815130">
      <w:pPr>
        <w:pStyle w:val="ListParagraph"/>
        <w:numPr>
          <w:ilvl w:val="1"/>
          <w:numId w:val="3"/>
        </w:numPr>
        <w:rPr>
          <w:rFonts w:ascii="Arial" w:hAnsi="Arial" w:cs="Arial"/>
        </w:rPr>
      </w:pPr>
      <w:r w:rsidRPr="00060F5E">
        <w:rPr>
          <w:rFonts w:ascii="Arial" w:hAnsi="Arial" w:cs="Arial"/>
        </w:rPr>
        <w:t>A Chair or Vice-C</w:t>
      </w:r>
      <w:r w:rsidR="00815130" w:rsidRPr="00060F5E">
        <w:rPr>
          <w:rFonts w:ascii="Arial" w:hAnsi="Arial" w:cs="Arial"/>
        </w:rPr>
        <w:t>hair shall be eligible for re-election.</w:t>
      </w:r>
    </w:p>
    <w:p w:rsidR="00815130" w:rsidRPr="00060F5E" w:rsidRDefault="00815130" w:rsidP="00815130">
      <w:pPr>
        <w:pStyle w:val="ListParagraph"/>
        <w:ind w:left="1500"/>
        <w:rPr>
          <w:rFonts w:ascii="Arial" w:hAnsi="Arial" w:cs="Arial"/>
        </w:rPr>
      </w:pPr>
    </w:p>
    <w:p w:rsidR="00815130" w:rsidRPr="00060F5E" w:rsidRDefault="00815130" w:rsidP="00815130">
      <w:pPr>
        <w:pStyle w:val="ListParagraph"/>
        <w:numPr>
          <w:ilvl w:val="0"/>
          <w:numId w:val="3"/>
        </w:numPr>
        <w:rPr>
          <w:rFonts w:ascii="Arial" w:hAnsi="Arial" w:cs="Arial"/>
          <w:b/>
        </w:rPr>
      </w:pPr>
      <w:r w:rsidRPr="00060F5E">
        <w:rPr>
          <w:rFonts w:ascii="Arial" w:hAnsi="Arial" w:cs="Arial"/>
          <w:b/>
        </w:rPr>
        <w:t>Voting</w:t>
      </w:r>
    </w:p>
    <w:p w:rsidR="00815130" w:rsidRPr="00060F5E" w:rsidRDefault="00815130" w:rsidP="00815130">
      <w:pPr>
        <w:pStyle w:val="ListParagraph"/>
        <w:numPr>
          <w:ilvl w:val="1"/>
          <w:numId w:val="3"/>
        </w:numPr>
        <w:rPr>
          <w:rFonts w:ascii="Arial" w:hAnsi="Arial" w:cs="Arial"/>
        </w:rPr>
      </w:pPr>
      <w:r w:rsidRPr="00060F5E">
        <w:rPr>
          <w:rFonts w:ascii="Arial" w:hAnsi="Arial" w:cs="Arial"/>
        </w:rPr>
        <w:t>Voting shall be by majority</w:t>
      </w:r>
      <w:r w:rsidR="00386AC0">
        <w:rPr>
          <w:rFonts w:ascii="Arial" w:hAnsi="Arial" w:cs="Arial"/>
        </w:rPr>
        <w:t xml:space="preserve"> of 60%</w:t>
      </w:r>
      <w:r w:rsidRPr="00060F5E">
        <w:rPr>
          <w:rFonts w:ascii="Arial" w:hAnsi="Arial" w:cs="Arial"/>
        </w:rPr>
        <w:t xml:space="preserve"> by show of hands</w:t>
      </w:r>
      <w:r w:rsidR="00386AC0">
        <w:rPr>
          <w:rFonts w:ascii="Arial" w:hAnsi="Arial" w:cs="Arial"/>
        </w:rPr>
        <w:t xml:space="preserve"> to pass a motion</w:t>
      </w:r>
      <w:r w:rsidRPr="00060F5E">
        <w:rPr>
          <w:rFonts w:ascii="Arial" w:hAnsi="Arial" w:cs="Arial"/>
        </w:rPr>
        <w:t>.</w:t>
      </w:r>
    </w:p>
    <w:p w:rsidR="00815130" w:rsidRPr="00060F5E" w:rsidRDefault="00815130" w:rsidP="00815130">
      <w:pPr>
        <w:pStyle w:val="ListParagraph"/>
        <w:numPr>
          <w:ilvl w:val="1"/>
          <w:numId w:val="3"/>
        </w:numPr>
        <w:rPr>
          <w:rFonts w:ascii="Arial" w:hAnsi="Arial" w:cs="Arial"/>
        </w:rPr>
      </w:pPr>
      <w:r w:rsidRPr="00060F5E">
        <w:rPr>
          <w:rFonts w:ascii="Arial" w:hAnsi="Arial" w:cs="Arial"/>
        </w:rPr>
        <w:t>In the event of a tie, the casting vote shall be vested in the Chair.</w:t>
      </w:r>
    </w:p>
    <w:p w:rsidR="0050471B" w:rsidRPr="00060F5E" w:rsidRDefault="0050471B" w:rsidP="0050471B">
      <w:pPr>
        <w:pStyle w:val="ListParagraph"/>
        <w:ind w:left="1500"/>
        <w:rPr>
          <w:rFonts w:ascii="Arial" w:hAnsi="Arial" w:cs="Arial"/>
        </w:rPr>
      </w:pPr>
    </w:p>
    <w:p w:rsidR="00CC78AE" w:rsidRPr="00060F5E" w:rsidRDefault="00CC78AE" w:rsidP="00CC78AE">
      <w:pPr>
        <w:pStyle w:val="ListParagraph"/>
        <w:numPr>
          <w:ilvl w:val="0"/>
          <w:numId w:val="3"/>
        </w:numPr>
        <w:rPr>
          <w:rFonts w:ascii="Arial" w:hAnsi="Arial" w:cs="Arial"/>
          <w:b/>
        </w:rPr>
      </w:pPr>
      <w:r w:rsidRPr="00060F5E">
        <w:rPr>
          <w:rFonts w:ascii="Arial" w:hAnsi="Arial" w:cs="Arial"/>
          <w:b/>
        </w:rPr>
        <w:t>Conduct of Meetings</w:t>
      </w:r>
    </w:p>
    <w:p w:rsidR="008D32A8" w:rsidRPr="00060F5E" w:rsidRDefault="00CC78AE" w:rsidP="008D32A8">
      <w:pPr>
        <w:pStyle w:val="ListParagraph"/>
        <w:numPr>
          <w:ilvl w:val="1"/>
          <w:numId w:val="3"/>
        </w:numPr>
        <w:rPr>
          <w:rFonts w:ascii="Arial" w:hAnsi="Arial" w:cs="Arial"/>
        </w:rPr>
      </w:pPr>
      <w:r w:rsidRPr="00060F5E">
        <w:rPr>
          <w:rFonts w:ascii="Arial" w:hAnsi="Arial" w:cs="Arial"/>
        </w:rPr>
        <w:t>The quorum for the meetings shall be 6 members of the Consultative Body.</w:t>
      </w:r>
    </w:p>
    <w:p w:rsidR="00CC78AE" w:rsidRPr="00060F5E" w:rsidRDefault="00CC78AE" w:rsidP="00CC78AE">
      <w:pPr>
        <w:pStyle w:val="ListParagraph"/>
        <w:numPr>
          <w:ilvl w:val="1"/>
          <w:numId w:val="3"/>
        </w:numPr>
        <w:rPr>
          <w:rFonts w:ascii="Arial" w:hAnsi="Arial" w:cs="Arial"/>
        </w:rPr>
      </w:pPr>
      <w:r w:rsidRPr="00060F5E">
        <w:rPr>
          <w:rFonts w:ascii="Arial" w:hAnsi="Arial" w:cs="Arial"/>
        </w:rPr>
        <w:t>In addition to the meetings which must be convened by Teignmouth Harbour Commis</w:t>
      </w:r>
      <w:r w:rsidR="0014201A" w:rsidRPr="00060F5E">
        <w:rPr>
          <w:rFonts w:ascii="Arial" w:hAnsi="Arial" w:cs="Arial"/>
        </w:rPr>
        <w:t>s</w:t>
      </w:r>
      <w:r w:rsidRPr="00060F5E">
        <w:rPr>
          <w:rFonts w:ascii="Arial" w:hAnsi="Arial" w:cs="Arial"/>
        </w:rPr>
        <w:t>ion</w:t>
      </w:r>
      <w:r w:rsidR="0014201A" w:rsidRPr="00060F5E">
        <w:rPr>
          <w:rFonts w:ascii="Arial" w:hAnsi="Arial" w:cs="Arial"/>
        </w:rPr>
        <w:t xml:space="preserve"> under para 14(2) of the Teignmouth Harbour Revision Order 2003, meetings may be convened at the request of any two members of the Consultative Body.</w:t>
      </w:r>
    </w:p>
    <w:p w:rsidR="0014201A" w:rsidRPr="00060F5E" w:rsidRDefault="0014201A" w:rsidP="00CC78AE">
      <w:pPr>
        <w:pStyle w:val="ListParagraph"/>
        <w:numPr>
          <w:ilvl w:val="1"/>
          <w:numId w:val="3"/>
        </w:numPr>
        <w:rPr>
          <w:rFonts w:ascii="Arial" w:hAnsi="Arial" w:cs="Arial"/>
        </w:rPr>
      </w:pPr>
      <w:r w:rsidRPr="00060F5E">
        <w:rPr>
          <w:rFonts w:ascii="Arial" w:hAnsi="Arial" w:cs="Arial"/>
        </w:rPr>
        <w:t>A single representative of persons having an interest in the functioning of the harbour shall be invited to attend and have a single vote.</w:t>
      </w:r>
    </w:p>
    <w:p w:rsidR="0014201A" w:rsidRPr="00060F5E" w:rsidRDefault="0014201A" w:rsidP="0014201A">
      <w:pPr>
        <w:pStyle w:val="ListParagraph"/>
        <w:numPr>
          <w:ilvl w:val="1"/>
          <w:numId w:val="3"/>
        </w:numPr>
        <w:rPr>
          <w:rFonts w:ascii="Arial" w:hAnsi="Arial" w:cs="Arial"/>
        </w:rPr>
      </w:pPr>
      <w:r w:rsidRPr="00060F5E">
        <w:rPr>
          <w:rFonts w:ascii="Arial" w:hAnsi="Arial" w:cs="Arial"/>
        </w:rPr>
        <w:t>Votes shall be counted by the Chair or the Vice-Chair.</w:t>
      </w:r>
    </w:p>
    <w:p w:rsidR="0014201A" w:rsidRPr="00060F5E" w:rsidRDefault="0014201A" w:rsidP="0014201A">
      <w:pPr>
        <w:pStyle w:val="ListParagraph"/>
        <w:numPr>
          <w:ilvl w:val="1"/>
          <w:numId w:val="3"/>
        </w:numPr>
        <w:rPr>
          <w:rFonts w:ascii="Arial" w:hAnsi="Arial" w:cs="Arial"/>
        </w:rPr>
      </w:pPr>
      <w:r w:rsidRPr="00060F5E">
        <w:rPr>
          <w:rFonts w:ascii="Arial" w:hAnsi="Arial" w:cs="Arial"/>
        </w:rPr>
        <w:t>In the absence of either the Chair or the Vice-Chair, the meeting shall elect a temporary Chair from amongst its members to fulfil that role at the meeting.</w:t>
      </w:r>
    </w:p>
    <w:p w:rsidR="0014201A" w:rsidRPr="00060F5E" w:rsidRDefault="0014201A" w:rsidP="0014201A">
      <w:pPr>
        <w:pStyle w:val="ListParagraph"/>
        <w:numPr>
          <w:ilvl w:val="1"/>
          <w:numId w:val="3"/>
        </w:numPr>
        <w:rPr>
          <w:rFonts w:ascii="Arial" w:hAnsi="Arial" w:cs="Arial"/>
        </w:rPr>
      </w:pPr>
      <w:r w:rsidRPr="00060F5E">
        <w:rPr>
          <w:rFonts w:ascii="Arial" w:hAnsi="Arial" w:cs="Arial"/>
        </w:rPr>
        <w:t>Items for the agenda should be submitted to the Chair or Vice-Chair not less than 48hrs before the date of the meeting and the</w:t>
      </w:r>
      <w:r w:rsidR="0050471B" w:rsidRPr="00060F5E">
        <w:rPr>
          <w:rFonts w:ascii="Arial" w:hAnsi="Arial" w:cs="Arial"/>
        </w:rPr>
        <w:t xml:space="preserve"> shall have an discretion over whether to take items for which prior notice has not been given to Teignmouth Harbour Commission for and on behalf of the Consultative Body.</w:t>
      </w:r>
    </w:p>
    <w:p w:rsidR="00E15585" w:rsidRPr="00060F5E" w:rsidRDefault="0050471B" w:rsidP="00E15585">
      <w:pPr>
        <w:pStyle w:val="ListParagraph"/>
        <w:numPr>
          <w:ilvl w:val="1"/>
          <w:numId w:val="3"/>
        </w:numPr>
        <w:rPr>
          <w:rFonts w:ascii="Arial" w:hAnsi="Arial" w:cs="Arial"/>
        </w:rPr>
      </w:pPr>
      <w:r w:rsidRPr="00060F5E">
        <w:rPr>
          <w:rFonts w:ascii="Arial" w:hAnsi="Arial" w:cs="Arial"/>
        </w:rPr>
        <w:t>Those present at any meetings shall sign a register specifying the organisation whom they are representing.</w:t>
      </w:r>
    </w:p>
    <w:p w:rsidR="006C6F07" w:rsidRPr="00060F5E" w:rsidRDefault="006C6F07" w:rsidP="006C6F07">
      <w:pPr>
        <w:pStyle w:val="ListParagraph"/>
        <w:ind w:left="1500"/>
        <w:rPr>
          <w:rFonts w:ascii="Arial" w:hAnsi="Arial" w:cs="Arial"/>
        </w:rPr>
      </w:pPr>
    </w:p>
    <w:p w:rsidR="00E15585" w:rsidRPr="00060F5E" w:rsidRDefault="00E15585" w:rsidP="00E15585">
      <w:pPr>
        <w:pStyle w:val="ListParagraph"/>
        <w:numPr>
          <w:ilvl w:val="0"/>
          <w:numId w:val="3"/>
        </w:numPr>
        <w:rPr>
          <w:rFonts w:ascii="Arial" w:hAnsi="Arial" w:cs="Arial"/>
          <w:b/>
        </w:rPr>
      </w:pPr>
      <w:r w:rsidRPr="00060F5E">
        <w:rPr>
          <w:rFonts w:ascii="Arial" w:hAnsi="Arial" w:cs="Arial"/>
          <w:b/>
        </w:rPr>
        <w:t>Draft Additional</w:t>
      </w:r>
      <w:r w:rsidR="006C6F07" w:rsidRPr="00060F5E">
        <w:rPr>
          <w:rFonts w:ascii="Arial" w:hAnsi="Arial" w:cs="Arial"/>
          <w:b/>
        </w:rPr>
        <w:t xml:space="preserve"> procedures</w:t>
      </w:r>
    </w:p>
    <w:p w:rsidR="00E15585" w:rsidRPr="00060F5E" w:rsidRDefault="00E15585" w:rsidP="00E15585">
      <w:pPr>
        <w:pStyle w:val="ListParagraph"/>
        <w:numPr>
          <w:ilvl w:val="1"/>
          <w:numId w:val="3"/>
        </w:numPr>
        <w:rPr>
          <w:rFonts w:ascii="Arial" w:hAnsi="Arial" w:cs="Arial"/>
        </w:rPr>
      </w:pPr>
      <w:r w:rsidRPr="00060F5E">
        <w:rPr>
          <w:rFonts w:ascii="Arial" w:hAnsi="Arial" w:cs="Arial"/>
        </w:rPr>
        <w:t>THC will provide limited secretariat (call meetings, distribute agenda, populate website)</w:t>
      </w:r>
    </w:p>
    <w:p w:rsidR="00060F5E" w:rsidRDefault="00E15585" w:rsidP="008D32A8">
      <w:pPr>
        <w:pStyle w:val="ListParagraph"/>
        <w:numPr>
          <w:ilvl w:val="1"/>
          <w:numId w:val="3"/>
        </w:numPr>
        <w:rPr>
          <w:rFonts w:ascii="Arial" w:hAnsi="Arial" w:cs="Arial"/>
        </w:rPr>
      </w:pPr>
      <w:r w:rsidRPr="00060F5E">
        <w:rPr>
          <w:rFonts w:ascii="Arial" w:hAnsi="Arial" w:cs="Arial"/>
        </w:rPr>
        <w:t xml:space="preserve">The Consultancy Group will meet three times yearly to </w:t>
      </w:r>
      <w:r w:rsidR="006C6F07" w:rsidRPr="00060F5E">
        <w:rPr>
          <w:rFonts w:ascii="Arial" w:hAnsi="Arial" w:cs="Arial"/>
        </w:rPr>
        <w:t>sync with THC bi</w:t>
      </w:r>
      <w:r w:rsidRPr="00060F5E">
        <w:rPr>
          <w:rFonts w:ascii="Arial" w:hAnsi="Arial" w:cs="Arial"/>
        </w:rPr>
        <w:t>monthly meetings</w:t>
      </w:r>
      <w:r w:rsidR="00060F5E">
        <w:rPr>
          <w:rFonts w:ascii="Arial" w:hAnsi="Arial" w:cs="Arial"/>
        </w:rPr>
        <w:t>, alternating Tue/Thu 1800 (Jan, May, Sep).</w:t>
      </w:r>
    </w:p>
    <w:p w:rsidR="00386AC0" w:rsidRDefault="00386AC0" w:rsidP="00386AC0">
      <w:pPr>
        <w:pStyle w:val="ListParagraph"/>
        <w:ind w:left="1080"/>
        <w:rPr>
          <w:rFonts w:ascii="Arial" w:hAnsi="Arial" w:cs="Arial"/>
          <w:b/>
        </w:rPr>
      </w:pPr>
    </w:p>
    <w:p w:rsidR="00060F5E" w:rsidRPr="00060F5E" w:rsidRDefault="00060F5E" w:rsidP="00060F5E">
      <w:pPr>
        <w:pStyle w:val="ListParagraph"/>
        <w:numPr>
          <w:ilvl w:val="0"/>
          <w:numId w:val="3"/>
        </w:numPr>
        <w:rPr>
          <w:rFonts w:ascii="Arial" w:hAnsi="Arial" w:cs="Arial"/>
          <w:b/>
        </w:rPr>
      </w:pPr>
      <w:r w:rsidRPr="00060F5E">
        <w:rPr>
          <w:rFonts w:ascii="Arial" w:hAnsi="Arial" w:cs="Arial"/>
          <w:b/>
        </w:rPr>
        <w:t>Draft Agenda</w:t>
      </w:r>
    </w:p>
    <w:p w:rsidR="00060F5E" w:rsidRDefault="00060F5E" w:rsidP="00060F5E">
      <w:pPr>
        <w:pStyle w:val="ListParagraph"/>
        <w:numPr>
          <w:ilvl w:val="1"/>
          <w:numId w:val="3"/>
        </w:numPr>
        <w:rPr>
          <w:rFonts w:ascii="Arial" w:hAnsi="Arial" w:cs="Arial"/>
        </w:rPr>
      </w:pPr>
      <w:r w:rsidRPr="00060F5E">
        <w:rPr>
          <w:rFonts w:ascii="Arial" w:hAnsi="Arial" w:cs="Arial"/>
        </w:rPr>
        <w:t>Chairpersons Report</w:t>
      </w:r>
    </w:p>
    <w:p w:rsidR="00060F5E" w:rsidRDefault="00060F5E" w:rsidP="00060F5E">
      <w:pPr>
        <w:pStyle w:val="ListParagraph"/>
        <w:numPr>
          <w:ilvl w:val="1"/>
          <w:numId w:val="3"/>
        </w:numPr>
        <w:rPr>
          <w:rFonts w:ascii="Arial" w:hAnsi="Arial" w:cs="Arial"/>
        </w:rPr>
      </w:pPr>
      <w:r>
        <w:rPr>
          <w:rFonts w:ascii="Arial" w:hAnsi="Arial" w:cs="Arial"/>
        </w:rPr>
        <w:t>Harbour Master Report</w:t>
      </w:r>
    </w:p>
    <w:p w:rsidR="00060F5E" w:rsidRPr="00060F5E" w:rsidRDefault="00060F5E" w:rsidP="00060F5E">
      <w:pPr>
        <w:pStyle w:val="ListParagraph"/>
        <w:numPr>
          <w:ilvl w:val="1"/>
          <w:numId w:val="3"/>
        </w:numPr>
        <w:rPr>
          <w:rFonts w:ascii="Arial" w:hAnsi="Arial" w:cs="Arial"/>
        </w:rPr>
      </w:pPr>
      <w:r>
        <w:rPr>
          <w:rFonts w:ascii="Arial" w:hAnsi="Arial" w:cs="Arial"/>
        </w:rPr>
        <w:t>User Community</w:t>
      </w:r>
      <w:r w:rsidRPr="00060F5E">
        <w:rPr>
          <w:rFonts w:ascii="Arial" w:hAnsi="Arial" w:cs="Arial"/>
        </w:rPr>
        <w:t xml:space="preserve"> Updates</w:t>
      </w:r>
    </w:p>
    <w:p w:rsidR="008D32A8" w:rsidRPr="00060F5E" w:rsidRDefault="00060F5E" w:rsidP="00060F5E">
      <w:pPr>
        <w:pStyle w:val="ListParagraph"/>
        <w:ind w:left="1080"/>
        <w:rPr>
          <w:rFonts w:ascii="Arial" w:hAnsi="Arial" w:cs="Arial"/>
        </w:rPr>
      </w:pPr>
      <w:r>
        <w:rPr>
          <w:rFonts w:ascii="Arial" w:hAnsi="Arial" w:cs="Arial"/>
        </w:rPr>
        <w:tab/>
      </w:r>
      <w:r w:rsidR="00E15585" w:rsidRPr="00060F5E">
        <w:rPr>
          <w:rFonts w:ascii="Arial" w:hAnsi="Arial" w:cs="Arial"/>
        </w:rPr>
        <w:tab/>
      </w:r>
    </w:p>
    <w:p w:rsidR="00386AC0" w:rsidRDefault="00386AC0" w:rsidP="00E72339">
      <w:pPr>
        <w:rPr>
          <w:b/>
          <w:bCs/>
          <w:sz w:val="28"/>
          <w:szCs w:val="28"/>
        </w:rPr>
      </w:pPr>
    </w:p>
    <w:p w:rsidR="00386AC0" w:rsidRDefault="00386AC0" w:rsidP="00E72339">
      <w:pPr>
        <w:rPr>
          <w:b/>
          <w:bCs/>
          <w:sz w:val="28"/>
          <w:szCs w:val="28"/>
        </w:rPr>
      </w:pPr>
    </w:p>
    <w:p w:rsidR="00386AC0" w:rsidRDefault="00386AC0" w:rsidP="00E72339">
      <w:pPr>
        <w:rPr>
          <w:b/>
          <w:bCs/>
          <w:sz w:val="28"/>
          <w:szCs w:val="28"/>
        </w:rPr>
      </w:pPr>
    </w:p>
    <w:p w:rsidR="00386AC0" w:rsidRDefault="00386AC0" w:rsidP="00E72339">
      <w:pPr>
        <w:rPr>
          <w:b/>
          <w:bCs/>
          <w:sz w:val="28"/>
          <w:szCs w:val="28"/>
        </w:rPr>
      </w:pPr>
    </w:p>
    <w:p w:rsidR="00386AC0" w:rsidRDefault="00386AC0" w:rsidP="00E72339">
      <w:pPr>
        <w:rPr>
          <w:b/>
          <w:bCs/>
          <w:sz w:val="28"/>
          <w:szCs w:val="28"/>
        </w:rPr>
      </w:pPr>
    </w:p>
    <w:p w:rsidR="00386AC0" w:rsidRDefault="00386AC0" w:rsidP="00E72339">
      <w:pPr>
        <w:rPr>
          <w:b/>
          <w:bCs/>
          <w:sz w:val="28"/>
          <w:szCs w:val="28"/>
        </w:rPr>
      </w:pPr>
    </w:p>
    <w:p w:rsidR="00E72339" w:rsidRPr="00BD08BA" w:rsidRDefault="00E72339" w:rsidP="00E72339">
      <w:pPr>
        <w:rPr>
          <w:b/>
          <w:bCs/>
          <w:sz w:val="28"/>
          <w:szCs w:val="28"/>
        </w:rPr>
      </w:pPr>
      <w:r w:rsidRPr="00BD08BA">
        <w:rPr>
          <w:b/>
          <w:bCs/>
          <w:sz w:val="28"/>
          <w:szCs w:val="28"/>
        </w:rPr>
        <w:lastRenderedPageBreak/>
        <w:t>Membership</w:t>
      </w:r>
    </w:p>
    <w:tbl>
      <w:tblPr>
        <w:tblW w:w="9546" w:type="dxa"/>
        <w:tblInd w:w="62" w:type="dxa"/>
        <w:tblBorders>
          <w:top w:val="single" w:sz="2" w:space="0" w:color="FFA02F"/>
          <w:left w:val="single" w:sz="2" w:space="0" w:color="FFA02F"/>
          <w:bottom w:val="single" w:sz="2" w:space="0" w:color="FFA02F"/>
          <w:right w:val="single" w:sz="2" w:space="0" w:color="FFA02F"/>
          <w:insideH w:val="single" w:sz="2" w:space="0" w:color="FFA02F"/>
          <w:insideV w:val="single" w:sz="2" w:space="0" w:color="FFA02F"/>
        </w:tblBorders>
        <w:tblCellMar>
          <w:left w:w="62" w:type="dxa"/>
          <w:right w:w="62" w:type="dxa"/>
        </w:tblCellMar>
        <w:tblLook w:val="01E0" w:firstRow="1" w:lastRow="1" w:firstColumn="1" w:lastColumn="1" w:noHBand="0" w:noVBand="0"/>
      </w:tblPr>
      <w:tblGrid>
        <w:gridCol w:w="1980"/>
        <w:gridCol w:w="7566"/>
      </w:tblGrid>
      <w:tr w:rsidR="00E72339" w:rsidRPr="00E72339" w:rsidTr="00186560">
        <w:tc>
          <w:tcPr>
            <w:tcW w:w="1980" w:type="dxa"/>
          </w:tcPr>
          <w:p w:rsidR="00E72339" w:rsidRPr="00E72339" w:rsidRDefault="00E72339" w:rsidP="00186560">
            <w:pPr>
              <w:pStyle w:val="TableHeading"/>
              <w:jc w:val="left"/>
              <w:rPr>
                <w:rFonts w:ascii="Arial" w:hAnsi="Arial"/>
                <w:b/>
                <w:color w:val="auto"/>
                <w:sz w:val="20"/>
                <w:szCs w:val="20"/>
              </w:rPr>
            </w:pPr>
            <w:r w:rsidRPr="00E72339">
              <w:rPr>
                <w:rFonts w:ascii="Arial" w:hAnsi="Arial"/>
                <w:b/>
                <w:color w:val="auto"/>
                <w:sz w:val="20"/>
                <w:szCs w:val="20"/>
              </w:rPr>
              <w:t>Role</w:t>
            </w:r>
          </w:p>
        </w:tc>
        <w:tc>
          <w:tcPr>
            <w:tcW w:w="7566" w:type="dxa"/>
          </w:tcPr>
          <w:p w:rsidR="00E72339" w:rsidRPr="00E72339" w:rsidRDefault="00E72339" w:rsidP="00186560">
            <w:pPr>
              <w:pStyle w:val="TableHeading"/>
              <w:jc w:val="left"/>
              <w:rPr>
                <w:rFonts w:ascii="Arial" w:hAnsi="Arial"/>
                <w:b/>
                <w:color w:val="auto"/>
                <w:sz w:val="20"/>
                <w:szCs w:val="20"/>
              </w:rPr>
            </w:pPr>
            <w:r w:rsidRPr="00E72339">
              <w:rPr>
                <w:rFonts w:ascii="Arial" w:hAnsi="Arial"/>
                <w:b/>
                <w:color w:val="auto"/>
                <w:sz w:val="20"/>
                <w:szCs w:val="20"/>
              </w:rPr>
              <w:t>Title</w:t>
            </w:r>
          </w:p>
        </w:tc>
      </w:tr>
      <w:tr w:rsidR="00E72339" w:rsidRPr="00E72339" w:rsidTr="00186560">
        <w:tc>
          <w:tcPr>
            <w:tcW w:w="1980" w:type="dxa"/>
            <w:vAlign w:val="center"/>
          </w:tcPr>
          <w:p w:rsidR="00E72339" w:rsidRPr="00E72339" w:rsidRDefault="00E72339" w:rsidP="00186560">
            <w:pPr>
              <w:rPr>
                <w:rFonts w:ascii="Arial" w:hAnsi="Arial" w:cs="Arial"/>
                <w:sz w:val="20"/>
                <w:szCs w:val="20"/>
              </w:rPr>
            </w:pPr>
            <w:r w:rsidRPr="00E72339">
              <w:rPr>
                <w:rFonts w:ascii="Arial" w:hAnsi="Arial" w:cs="Arial"/>
                <w:sz w:val="20"/>
                <w:szCs w:val="20"/>
              </w:rPr>
              <w:t xml:space="preserve">Chair </w:t>
            </w:r>
          </w:p>
        </w:tc>
        <w:tc>
          <w:tcPr>
            <w:tcW w:w="7566" w:type="dxa"/>
            <w:vAlign w:val="center"/>
          </w:tcPr>
          <w:p w:rsidR="00E72339" w:rsidRPr="00E72339" w:rsidRDefault="008D32A8" w:rsidP="00186560">
            <w:pPr>
              <w:rPr>
                <w:rFonts w:ascii="Arial" w:hAnsi="Arial" w:cs="Arial"/>
                <w:sz w:val="20"/>
                <w:szCs w:val="20"/>
              </w:rPr>
            </w:pPr>
            <w:r>
              <w:rPr>
                <w:rFonts w:ascii="Arial" w:hAnsi="Arial" w:cs="Arial"/>
                <w:sz w:val="20"/>
                <w:szCs w:val="20"/>
              </w:rPr>
              <w:t>Roger Bufton (</w:t>
            </w:r>
            <w:r w:rsidR="00421F74">
              <w:rPr>
                <w:rFonts w:ascii="Arial" w:hAnsi="Arial" w:cs="Arial"/>
                <w:sz w:val="20"/>
                <w:szCs w:val="20"/>
              </w:rPr>
              <w:t>representing</w:t>
            </w:r>
            <w:r w:rsidR="00060F5E">
              <w:rPr>
                <w:rFonts w:ascii="Arial" w:hAnsi="Arial" w:cs="Arial"/>
                <w:sz w:val="20"/>
                <w:szCs w:val="20"/>
              </w:rPr>
              <w:t>?</w:t>
            </w:r>
            <w:r w:rsidR="00421F74">
              <w:rPr>
                <w:rFonts w:ascii="Arial" w:hAnsi="Arial" w:cs="Arial"/>
                <w:sz w:val="20"/>
                <w:szCs w:val="20"/>
              </w:rPr>
              <w:t>)</w:t>
            </w:r>
          </w:p>
        </w:tc>
      </w:tr>
      <w:tr w:rsidR="00E72339" w:rsidRPr="00E72339" w:rsidTr="00186560">
        <w:tc>
          <w:tcPr>
            <w:tcW w:w="1980" w:type="dxa"/>
            <w:vAlign w:val="center"/>
          </w:tcPr>
          <w:p w:rsidR="00E72339" w:rsidRPr="00E72339" w:rsidRDefault="00E72339" w:rsidP="00186560">
            <w:pPr>
              <w:rPr>
                <w:rFonts w:ascii="Arial" w:hAnsi="Arial" w:cs="Arial"/>
                <w:sz w:val="20"/>
                <w:szCs w:val="20"/>
              </w:rPr>
            </w:pPr>
            <w:r>
              <w:rPr>
                <w:rFonts w:ascii="Arial" w:hAnsi="Arial" w:cs="Arial"/>
                <w:sz w:val="20"/>
                <w:szCs w:val="20"/>
              </w:rPr>
              <w:t>Vice-</w:t>
            </w:r>
            <w:r w:rsidRPr="00E72339">
              <w:rPr>
                <w:rFonts w:ascii="Arial" w:hAnsi="Arial" w:cs="Arial"/>
                <w:sz w:val="20"/>
                <w:szCs w:val="20"/>
              </w:rPr>
              <w:t>Chair</w:t>
            </w:r>
          </w:p>
        </w:tc>
        <w:tc>
          <w:tcPr>
            <w:tcW w:w="7566" w:type="dxa"/>
            <w:vAlign w:val="center"/>
          </w:tcPr>
          <w:p w:rsidR="00E72339" w:rsidRPr="00E72339" w:rsidRDefault="00E72339" w:rsidP="00186560">
            <w:pPr>
              <w:rPr>
                <w:rFonts w:ascii="Arial" w:hAnsi="Arial" w:cs="Arial"/>
                <w:sz w:val="20"/>
                <w:szCs w:val="20"/>
              </w:rPr>
            </w:pPr>
          </w:p>
        </w:tc>
      </w:tr>
      <w:tr w:rsidR="00E72339" w:rsidRPr="00E72339" w:rsidTr="00186560">
        <w:tc>
          <w:tcPr>
            <w:tcW w:w="1980" w:type="dxa"/>
            <w:vAlign w:val="center"/>
          </w:tcPr>
          <w:p w:rsidR="00E72339" w:rsidRPr="00E72339" w:rsidRDefault="00E72339" w:rsidP="00186560">
            <w:pPr>
              <w:rPr>
                <w:rFonts w:ascii="Arial" w:hAnsi="Arial" w:cs="Arial"/>
                <w:sz w:val="20"/>
                <w:szCs w:val="20"/>
              </w:rPr>
            </w:pPr>
            <w:r w:rsidRPr="00E72339">
              <w:rPr>
                <w:rFonts w:ascii="Arial" w:hAnsi="Arial" w:cs="Arial"/>
                <w:sz w:val="20"/>
                <w:szCs w:val="20"/>
              </w:rPr>
              <w:t>Secretariat</w:t>
            </w:r>
          </w:p>
        </w:tc>
        <w:tc>
          <w:tcPr>
            <w:tcW w:w="7566" w:type="dxa"/>
            <w:vAlign w:val="center"/>
          </w:tcPr>
          <w:p w:rsidR="00E72339" w:rsidRPr="00E72339" w:rsidRDefault="00E72339" w:rsidP="00186560">
            <w:pPr>
              <w:rPr>
                <w:rFonts w:ascii="Arial" w:hAnsi="Arial" w:cs="Arial"/>
                <w:sz w:val="20"/>
                <w:szCs w:val="20"/>
              </w:rPr>
            </w:pPr>
            <w:r>
              <w:rPr>
                <w:rFonts w:ascii="Arial" w:hAnsi="Arial" w:cs="Arial"/>
                <w:sz w:val="20"/>
                <w:szCs w:val="20"/>
              </w:rPr>
              <w:t xml:space="preserve">Meeting booking an management (THC) Minutes (THCG Member) </w:t>
            </w:r>
          </w:p>
        </w:tc>
      </w:tr>
      <w:tr w:rsidR="00E72339" w:rsidRPr="00E72339" w:rsidTr="00186560">
        <w:tc>
          <w:tcPr>
            <w:tcW w:w="1980" w:type="dxa"/>
            <w:vAlign w:val="center"/>
          </w:tcPr>
          <w:p w:rsidR="00E72339" w:rsidRPr="00E72339" w:rsidRDefault="00E72339" w:rsidP="00186560">
            <w:pPr>
              <w:rPr>
                <w:rFonts w:ascii="Arial" w:hAnsi="Arial" w:cs="Arial"/>
                <w:sz w:val="20"/>
                <w:szCs w:val="20"/>
              </w:rPr>
            </w:pPr>
            <w:r>
              <w:rPr>
                <w:rFonts w:ascii="Arial" w:hAnsi="Arial" w:cs="Arial"/>
                <w:sz w:val="20"/>
                <w:szCs w:val="20"/>
              </w:rPr>
              <w:t>THC</w:t>
            </w:r>
          </w:p>
        </w:tc>
        <w:tc>
          <w:tcPr>
            <w:tcW w:w="7566" w:type="dxa"/>
            <w:vAlign w:val="center"/>
          </w:tcPr>
          <w:p w:rsidR="00E72339" w:rsidRDefault="00421F74" w:rsidP="00186560">
            <w:pPr>
              <w:rPr>
                <w:rFonts w:ascii="Arial" w:hAnsi="Arial" w:cs="Arial"/>
                <w:sz w:val="20"/>
                <w:szCs w:val="20"/>
              </w:rPr>
            </w:pPr>
            <w:r>
              <w:rPr>
                <w:rFonts w:ascii="Arial" w:hAnsi="Arial" w:cs="Arial"/>
                <w:sz w:val="20"/>
                <w:szCs w:val="20"/>
                <w:lang w:val="en-US"/>
              </w:rPr>
              <w:t>Karen Dalton-Fyfe (</w:t>
            </w:r>
            <w:r w:rsidR="00E72339" w:rsidRPr="00E72339">
              <w:rPr>
                <w:rFonts w:ascii="Arial" w:hAnsi="Arial" w:cs="Arial"/>
                <w:sz w:val="20"/>
                <w:szCs w:val="20"/>
                <w:lang w:val="en-US"/>
              </w:rPr>
              <w:t>THC Chief Exec</w:t>
            </w:r>
            <w:r>
              <w:rPr>
                <w:rFonts w:ascii="Arial" w:hAnsi="Arial" w:cs="Arial"/>
                <w:sz w:val="20"/>
                <w:szCs w:val="20"/>
                <w:lang w:val="en-US"/>
              </w:rPr>
              <w:t>)</w:t>
            </w:r>
            <w:r w:rsidR="00E72339">
              <w:rPr>
                <w:rFonts w:ascii="Arial" w:hAnsi="Arial" w:cs="Arial"/>
                <w:sz w:val="20"/>
                <w:szCs w:val="20"/>
                <w:lang w:val="en-US"/>
              </w:rPr>
              <w:t xml:space="preserve"> / </w:t>
            </w:r>
            <w:r>
              <w:rPr>
                <w:rFonts w:ascii="Arial" w:hAnsi="Arial" w:cs="Arial"/>
                <w:sz w:val="20"/>
                <w:szCs w:val="20"/>
                <w:lang w:val="en-US"/>
              </w:rPr>
              <w:t xml:space="preserve">Sue Astbury (THC </w:t>
            </w:r>
            <w:r w:rsidR="00E72339">
              <w:rPr>
                <w:rFonts w:ascii="Arial" w:hAnsi="Arial" w:cs="Arial"/>
                <w:sz w:val="20"/>
                <w:szCs w:val="20"/>
                <w:lang w:val="en-US"/>
              </w:rPr>
              <w:t>Chair</w:t>
            </w:r>
            <w:r>
              <w:rPr>
                <w:rFonts w:ascii="Arial" w:hAnsi="Arial" w:cs="Arial"/>
                <w:sz w:val="20"/>
                <w:szCs w:val="20"/>
                <w:lang w:val="en-US"/>
              </w:rPr>
              <w:t>)</w:t>
            </w:r>
          </w:p>
        </w:tc>
      </w:tr>
      <w:tr w:rsidR="00E72339" w:rsidRPr="00E72339" w:rsidTr="00186560">
        <w:tc>
          <w:tcPr>
            <w:tcW w:w="1980" w:type="dxa"/>
            <w:vAlign w:val="center"/>
          </w:tcPr>
          <w:p w:rsidR="00E72339" w:rsidRPr="00E72339" w:rsidRDefault="00E72339" w:rsidP="00186560">
            <w:pPr>
              <w:rPr>
                <w:rFonts w:ascii="Arial" w:hAnsi="Arial" w:cs="Arial"/>
                <w:sz w:val="20"/>
                <w:szCs w:val="20"/>
              </w:rPr>
            </w:pPr>
            <w:r>
              <w:rPr>
                <w:rFonts w:ascii="Arial" w:hAnsi="Arial" w:cs="Arial"/>
                <w:sz w:val="20"/>
                <w:szCs w:val="20"/>
              </w:rPr>
              <w:t>Harbour Master</w:t>
            </w:r>
          </w:p>
        </w:tc>
        <w:tc>
          <w:tcPr>
            <w:tcW w:w="7566" w:type="dxa"/>
            <w:vAlign w:val="center"/>
          </w:tcPr>
          <w:p w:rsidR="00E72339" w:rsidRDefault="00E72339" w:rsidP="00186560">
            <w:pPr>
              <w:rPr>
                <w:rFonts w:ascii="Arial" w:hAnsi="Arial" w:cs="Arial"/>
                <w:sz w:val="20"/>
                <w:szCs w:val="20"/>
              </w:rPr>
            </w:pPr>
            <w:r w:rsidRPr="00E72339">
              <w:rPr>
                <w:rFonts w:ascii="Arial" w:hAnsi="Arial" w:cs="Arial"/>
                <w:sz w:val="20"/>
                <w:szCs w:val="20"/>
                <w:lang w:val="en-US"/>
              </w:rPr>
              <w:t>THC Harbour Master</w:t>
            </w:r>
            <w:r>
              <w:rPr>
                <w:rFonts w:ascii="Arial" w:hAnsi="Arial" w:cs="Arial"/>
                <w:sz w:val="20"/>
                <w:szCs w:val="20"/>
                <w:lang w:val="en-US"/>
              </w:rPr>
              <w:t xml:space="preserve"> / Deputy Harbour Master</w:t>
            </w:r>
          </w:p>
        </w:tc>
      </w:tr>
      <w:tr w:rsidR="008F5782" w:rsidRPr="00E72339" w:rsidTr="00186560">
        <w:tc>
          <w:tcPr>
            <w:tcW w:w="1980" w:type="dxa"/>
            <w:vAlign w:val="center"/>
          </w:tcPr>
          <w:p w:rsidR="008F5782" w:rsidRPr="00E72339" w:rsidRDefault="008F5782" w:rsidP="008F5782">
            <w:pPr>
              <w:rPr>
                <w:rFonts w:ascii="Arial" w:hAnsi="Arial" w:cs="Arial"/>
                <w:sz w:val="20"/>
                <w:szCs w:val="20"/>
              </w:rPr>
            </w:pPr>
            <w:r>
              <w:rPr>
                <w:rFonts w:ascii="Arial" w:hAnsi="Arial" w:cs="Arial"/>
                <w:sz w:val="20"/>
                <w:szCs w:val="20"/>
              </w:rPr>
              <w:t>Commercial Members</w:t>
            </w:r>
          </w:p>
          <w:p w:rsidR="008F5782" w:rsidRPr="00E72339" w:rsidRDefault="008F5782" w:rsidP="008F5782">
            <w:pPr>
              <w:rPr>
                <w:rFonts w:ascii="Arial" w:hAnsi="Arial" w:cs="Arial"/>
                <w:sz w:val="20"/>
                <w:szCs w:val="20"/>
              </w:rPr>
            </w:pPr>
          </w:p>
        </w:tc>
        <w:tc>
          <w:tcPr>
            <w:tcW w:w="7566" w:type="dxa"/>
          </w:tcPr>
          <w:p w:rsidR="00421F74" w:rsidRDefault="00E15585" w:rsidP="008F5782">
            <w:pPr>
              <w:jc w:val="both"/>
              <w:rPr>
                <w:rFonts w:ascii="Arial" w:hAnsi="Arial" w:cs="Arial"/>
                <w:sz w:val="20"/>
                <w:szCs w:val="20"/>
                <w:lang w:val="en-US"/>
              </w:rPr>
            </w:pPr>
            <w:r>
              <w:rPr>
                <w:rFonts w:ascii="Arial" w:hAnsi="Arial" w:cs="Arial"/>
                <w:sz w:val="20"/>
                <w:szCs w:val="20"/>
                <w:lang w:val="en-US"/>
              </w:rPr>
              <w:t>Associated</w:t>
            </w:r>
            <w:r w:rsidR="00421F74">
              <w:rPr>
                <w:rFonts w:ascii="Arial" w:hAnsi="Arial" w:cs="Arial"/>
                <w:sz w:val="20"/>
                <w:szCs w:val="20"/>
                <w:lang w:val="en-US"/>
              </w:rPr>
              <w:t xml:space="preserve"> British Ports (ABP)</w:t>
            </w:r>
          </w:p>
          <w:p w:rsidR="00421F74" w:rsidRDefault="00421F74" w:rsidP="008F5782">
            <w:pPr>
              <w:jc w:val="both"/>
              <w:rPr>
                <w:rFonts w:ascii="Arial" w:hAnsi="Arial" w:cs="Arial"/>
                <w:sz w:val="20"/>
                <w:szCs w:val="20"/>
                <w:lang w:val="en-US"/>
              </w:rPr>
            </w:pPr>
            <w:r>
              <w:rPr>
                <w:rFonts w:ascii="Arial" w:hAnsi="Arial" w:cs="Arial"/>
                <w:sz w:val="20"/>
                <w:szCs w:val="20"/>
                <w:lang w:val="en-US"/>
              </w:rPr>
              <w:t>Devon Sea Safari</w:t>
            </w:r>
          </w:p>
          <w:p w:rsidR="00E15585" w:rsidRDefault="00E15585" w:rsidP="008F5782">
            <w:pPr>
              <w:jc w:val="both"/>
              <w:rPr>
                <w:rFonts w:ascii="Arial" w:hAnsi="Arial" w:cs="Arial"/>
                <w:sz w:val="20"/>
                <w:szCs w:val="20"/>
                <w:lang w:val="en-US"/>
              </w:rPr>
            </w:pPr>
            <w:r>
              <w:rPr>
                <w:rFonts w:ascii="Arial" w:hAnsi="Arial" w:cs="Arial"/>
                <w:sz w:val="20"/>
                <w:szCs w:val="20"/>
                <w:lang w:val="en-US"/>
              </w:rPr>
              <w:t>Pike Ward Agents</w:t>
            </w:r>
          </w:p>
          <w:p w:rsidR="00E15585" w:rsidRDefault="00E15585" w:rsidP="008F5782">
            <w:pPr>
              <w:jc w:val="both"/>
              <w:rPr>
                <w:rFonts w:ascii="Arial" w:hAnsi="Arial" w:cs="Arial"/>
                <w:sz w:val="20"/>
                <w:szCs w:val="20"/>
                <w:lang w:val="en-US"/>
              </w:rPr>
            </w:pPr>
            <w:r>
              <w:rPr>
                <w:rFonts w:ascii="Arial" w:hAnsi="Arial" w:cs="Arial"/>
                <w:sz w:val="20"/>
                <w:szCs w:val="20"/>
                <w:lang w:val="en-US"/>
              </w:rPr>
              <w:t>Pilotage and Marine Services Teignmouth</w:t>
            </w:r>
          </w:p>
          <w:p w:rsidR="00421F74" w:rsidRDefault="008F5782" w:rsidP="008F5782">
            <w:pPr>
              <w:jc w:val="both"/>
              <w:rPr>
                <w:rFonts w:ascii="Arial" w:hAnsi="Arial" w:cs="Arial"/>
                <w:sz w:val="20"/>
                <w:szCs w:val="20"/>
              </w:rPr>
            </w:pPr>
            <w:r w:rsidRPr="00E72339">
              <w:rPr>
                <w:rFonts w:ascii="Arial" w:hAnsi="Arial" w:cs="Arial"/>
                <w:sz w:val="20"/>
                <w:szCs w:val="20"/>
                <w:lang w:val="en-US"/>
              </w:rPr>
              <w:t>T</w:t>
            </w:r>
            <w:r w:rsidR="00E15585">
              <w:rPr>
                <w:rFonts w:ascii="Arial" w:hAnsi="Arial" w:cs="Arial"/>
                <w:sz w:val="20"/>
                <w:szCs w:val="20"/>
                <w:lang w:val="en-US"/>
              </w:rPr>
              <w:t>eignmouth Marine Services</w:t>
            </w:r>
            <w:r w:rsidR="00421F74" w:rsidRPr="00E72339">
              <w:rPr>
                <w:rFonts w:ascii="Arial" w:hAnsi="Arial" w:cs="Arial"/>
                <w:sz w:val="20"/>
                <w:szCs w:val="20"/>
              </w:rPr>
              <w:t xml:space="preserve"> </w:t>
            </w:r>
          </w:p>
          <w:p w:rsidR="008F5782" w:rsidRDefault="00386AC0" w:rsidP="008F5782">
            <w:pPr>
              <w:jc w:val="both"/>
              <w:rPr>
                <w:rFonts w:ascii="Arial" w:hAnsi="Arial" w:cs="Arial"/>
                <w:sz w:val="20"/>
                <w:szCs w:val="20"/>
              </w:rPr>
            </w:pPr>
            <w:r>
              <w:rPr>
                <w:rFonts w:ascii="Arial" w:hAnsi="Arial" w:cs="Arial"/>
                <w:sz w:val="20"/>
                <w:szCs w:val="20"/>
              </w:rPr>
              <w:t xml:space="preserve">Shaldon/Teignmouth </w:t>
            </w:r>
            <w:r w:rsidR="00421F74" w:rsidRPr="00E72339">
              <w:rPr>
                <w:rFonts w:ascii="Arial" w:hAnsi="Arial" w:cs="Arial"/>
                <w:sz w:val="20"/>
                <w:szCs w:val="20"/>
              </w:rPr>
              <w:t>Ferry</w:t>
            </w:r>
          </w:p>
          <w:p w:rsidR="00421F74" w:rsidRDefault="00421F74" w:rsidP="008F5782">
            <w:pPr>
              <w:jc w:val="both"/>
              <w:rPr>
                <w:rFonts w:ascii="Arial" w:hAnsi="Arial" w:cs="Arial"/>
                <w:sz w:val="20"/>
                <w:szCs w:val="20"/>
                <w:lang w:val="en-US"/>
              </w:rPr>
            </w:pPr>
            <w:r w:rsidRPr="00E72339">
              <w:rPr>
                <w:rFonts w:ascii="Arial" w:hAnsi="Arial" w:cs="Arial"/>
                <w:sz w:val="20"/>
                <w:szCs w:val="20"/>
                <w:lang w:val="en-US"/>
              </w:rPr>
              <w:t xml:space="preserve">Shaldon Boat Hire </w:t>
            </w:r>
          </w:p>
          <w:p w:rsidR="00E15585" w:rsidRDefault="00E15585" w:rsidP="008F5782">
            <w:pPr>
              <w:jc w:val="both"/>
              <w:rPr>
                <w:rFonts w:ascii="Arial" w:hAnsi="Arial" w:cs="Arial"/>
                <w:sz w:val="20"/>
                <w:szCs w:val="20"/>
                <w:lang w:val="en-US"/>
              </w:rPr>
            </w:pPr>
            <w:r>
              <w:rPr>
                <w:rFonts w:ascii="Arial" w:hAnsi="Arial" w:cs="Arial"/>
                <w:sz w:val="20"/>
                <w:szCs w:val="20"/>
                <w:lang w:val="en-US"/>
              </w:rPr>
              <w:t>Shaldon Marine / Mariners Weigh</w:t>
            </w:r>
          </w:p>
          <w:p w:rsidR="00421F74" w:rsidRDefault="00421F74" w:rsidP="008F5782">
            <w:pPr>
              <w:jc w:val="both"/>
              <w:rPr>
                <w:rFonts w:ascii="Arial" w:hAnsi="Arial" w:cs="Arial"/>
                <w:sz w:val="20"/>
                <w:szCs w:val="20"/>
                <w:lang w:val="en-US"/>
              </w:rPr>
            </w:pPr>
            <w:r w:rsidRPr="00E72339">
              <w:rPr>
                <w:rFonts w:ascii="Arial" w:hAnsi="Arial" w:cs="Arial"/>
                <w:sz w:val="20"/>
                <w:szCs w:val="20"/>
                <w:lang w:val="en-US"/>
              </w:rPr>
              <w:t>Teign Sea Angling</w:t>
            </w:r>
          </w:p>
          <w:p w:rsidR="00421F74" w:rsidRDefault="00421F74" w:rsidP="008F5782">
            <w:pPr>
              <w:jc w:val="both"/>
              <w:rPr>
                <w:rFonts w:ascii="Arial" w:eastAsia="Times New Roman" w:hAnsi="Arial" w:cs="Arial"/>
                <w:color w:val="222222"/>
                <w:sz w:val="20"/>
                <w:szCs w:val="20"/>
              </w:rPr>
            </w:pPr>
            <w:r w:rsidRPr="00E72339">
              <w:rPr>
                <w:rFonts w:ascii="Arial" w:eastAsia="Times New Roman" w:hAnsi="Arial" w:cs="Arial"/>
                <w:color w:val="222222"/>
                <w:sz w:val="20"/>
                <w:szCs w:val="20"/>
              </w:rPr>
              <w:t>Teign Fishermen and Watermen association</w:t>
            </w:r>
          </w:p>
          <w:p w:rsidR="00421F74" w:rsidRDefault="00421F74" w:rsidP="008F5782">
            <w:pPr>
              <w:jc w:val="both"/>
              <w:rPr>
                <w:rFonts w:ascii="Arial" w:eastAsia="Times New Roman" w:hAnsi="Arial" w:cs="Arial"/>
                <w:color w:val="222222"/>
                <w:sz w:val="20"/>
                <w:szCs w:val="20"/>
              </w:rPr>
            </w:pPr>
            <w:r w:rsidRPr="00E72339">
              <w:rPr>
                <w:rFonts w:ascii="Arial" w:eastAsia="Times New Roman" w:hAnsi="Arial" w:cs="Arial"/>
                <w:color w:val="222222"/>
                <w:sz w:val="20"/>
                <w:szCs w:val="20"/>
              </w:rPr>
              <w:t>Teign Salmon Fishers</w:t>
            </w:r>
          </w:p>
          <w:p w:rsidR="00421F74" w:rsidRDefault="00421F74" w:rsidP="008F5782">
            <w:pPr>
              <w:jc w:val="both"/>
              <w:rPr>
                <w:rFonts w:ascii="Arial" w:eastAsia="Times New Roman" w:hAnsi="Arial" w:cs="Arial"/>
                <w:color w:val="222222"/>
                <w:sz w:val="20"/>
                <w:szCs w:val="20"/>
              </w:rPr>
            </w:pPr>
            <w:r w:rsidRPr="00E72339">
              <w:rPr>
                <w:rFonts w:ascii="Arial" w:eastAsia="Times New Roman" w:hAnsi="Arial" w:cs="Arial"/>
                <w:color w:val="222222"/>
                <w:sz w:val="20"/>
                <w:szCs w:val="20"/>
              </w:rPr>
              <w:t>Teign Mussel Men</w:t>
            </w:r>
          </w:p>
          <w:p w:rsidR="00E15585" w:rsidRPr="00E72339" w:rsidRDefault="00E15585" w:rsidP="008F5782">
            <w:pPr>
              <w:jc w:val="both"/>
              <w:rPr>
                <w:rFonts w:ascii="Arial" w:hAnsi="Arial" w:cs="Arial"/>
                <w:sz w:val="20"/>
                <w:szCs w:val="20"/>
              </w:rPr>
            </w:pPr>
            <w:r>
              <w:rPr>
                <w:rFonts w:ascii="Arial" w:eastAsia="Times New Roman" w:hAnsi="Arial" w:cs="Arial"/>
                <w:color w:val="222222"/>
                <w:sz w:val="20"/>
                <w:szCs w:val="20"/>
              </w:rPr>
              <w:t>Teign Dive Centre</w:t>
            </w:r>
          </w:p>
        </w:tc>
      </w:tr>
      <w:tr w:rsidR="00421F74" w:rsidRPr="00E72339" w:rsidTr="00186560">
        <w:tc>
          <w:tcPr>
            <w:tcW w:w="1980" w:type="dxa"/>
            <w:vAlign w:val="center"/>
          </w:tcPr>
          <w:p w:rsidR="00421F74" w:rsidRPr="00E72339" w:rsidRDefault="00421F74" w:rsidP="00421F74">
            <w:pPr>
              <w:rPr>
                <w:rFonts w:ascii="Arial" w:hAnsi="Arial" w:cs="Arial"/>
                <w:sz w:val="20"/>
                <w:szCs w:val="20"/>
              </w:rPr>
            </w:pPr>
            <w:r>
              <w:rPr>
                <w:rFonts w:ascii="Arial" w:hAnsi="Arial" w:cs="Arial"/>
                <w:sz w:val="20"/>
                <w:szCs w:val="20"/>
              </w:rPr>
              <w:t xml:space="preserve">Leisure / Clubs </w:t>
            </w:r>
          </w:p>
        </w:tc>
        <w:tc>
          <w:tcPr>
            <w:tcW w:w="7566" w:type="dxa"/>
          </w:tcPr>
          <w:p w:rsidR="00421F74" w:rsidRDefault="00421F74" w:rsidP="00421F74">
            <w:pPr>
              <w:rPr>
                <w:rFonts w:ascii="Arial" w:hAnsi="Arial" w:cs="Arial"/>
                <w:sz w:val="20"/>
                <w:szCs w:val="20"/>
                <w:lang w:val="en-US"/>
              </w:rPr>
            </w:pPr>
            <w:r w:rsidRPr="00E72339">
              <w:rPr>
                <w:rFonts w:ascii="Arial" w:hAnsi="Arial" w:cs="Arial"/>
                <w:sz w:val="20"/>
                <w:szCs w:val="20"/>
                <w:lang w:val="en-US"/>
              </w:rPr>
              <w:t>B</w:t>
            </w:r>
            <w:r>
              <w:rPr>
                <w:rFonts w:ascii="Arial" w:hAnsi="Arial" w:cs="Arial"/>
                <w:sz w:val="20"/>
                <w:szCs w:val="20"/>
                <w:lang w:val="en-US"/>
              </w:rPr>
              <w:t>oat Owners Association (BOAT)</w:t>
            </w:r>
          </w:p>
          <w:p w:rsidR="00386AC0" w:rsidRDefault="00386AC0" w:rsidP="00421F74">
            <w:pPr>
              <w:rPr>
                <w:rFonts w:ascii="Arial" w:hAnsi="Arial" w:cs="Arial"/>
                <w:sz w:val="20"/>
                <w:szCs w:val="20"/>
                <w:lang w:val="en-US"/>
              </w:rPr>
            </w:pPr>
            <w:r>
              <w:t>Surf lifesaving club</w:t>
            </w:r>
          </w:p>
          <w:p w:rsidR="00421F74" w:rsidRDefault="00421F74" w:rsidP="00421F74">
            <w:pPr>
              <w:rPr>
                <w:rFonts w:ascii="Arial" w:hAnsi="Arial" w:cs="Arial"/>
                <w:sz w:val="20"/>
                <w:szCs w:val="20"/>
                <w:lang w:val="en-US"/>
              </w:rPr>
            </w:pPr>
            <w:r w:rsidRPr="00E72339">
              <w:rPr>
                <w:rFonts w:ascii="Arial" w:hAnsi="Arial" w:cs="Arial"/>
                <w:sz w:val="20"/>
                <w:szCs w:val="20"/>
                <w:lang w:val="en-US"/>
              </w:rPr>
              <w:t>T</w:t>
            </w:r>
            <w:r>
              <w:rPr>
                <w:rFonts w:ascii="Arial" w:hAnsi="Arial" w:cs="Arial"/>
                <w:sz w:val="20"/>
                <w:szCs w:val="20"/>
                <w:lang w:val="en-US"/>
              </w:rPr>
              <w:t>eignmouth Corinthian Yacht Club (T</w:t>
            </w:r>
            <w:r w:rsidRPr="00E72339">
              <w:rPr>
                <w:rFonts w:ascii="Arial" w:hAnsi="Arial" w:cs="Arial"/>
                <w:sz w:val="20"/>
                <w:szCs w:val="20"/>
                <w:lang w:val="en-US"/>
              </w:rPr>
              <w:t>CYC</w:t>
            </w:r>
            <w:r>
              <w:rPr>
                <w:rFonts w:ascii="Arial" w:hAnsi="Arial" w:cs="Arial"/>
                <w:sz w:val="20"/>
                <w:szCs w:val="20"/>
                <w:lang w:val="en-US"/>
              </w:rPr>
              <w:t>)</w:t>
            </w:r>
            <w:r w:rsidRPr="00E72339">
              <w:rPr>
                <w:rFonts w:ascii="Arial" w:hAnsi="Arial" w:cs="Arial"/>
                <w:sz w:val="20"/>
                <w:szCs w:val="20"/>
                <w:lang w:val="en-US"/>
              </w:rPr>
              <w:t xml:space="preserve"> </w:t>
            </w:r>
          </w:p>
          <w:p w:rsidR="00421F74" w:rsidRDefault="00421F74" w:rsidP="00421F74">
            <w:pPr>
              <w:rPr>
                <w:rFonts w:ascii="Arial" w:hAnsi="Arial" w:cs="Arial"/>
                <w:sz w:val="20"/>
                <w:szCs w:val="20"/>
                <w:lang w:val="en-US"/>
              </w:rPr>
            </w:pPr>
            <w:r w:rsidRPr="00E72339">
              <w:rPr>
                <w:rFonts w:ascii="Arial" w:hAnsi="Arial" w:cs="Arial"/>
                <w:sz w:val="20"/>
                <w:szCs w:val="20"/>
                <w:lang w:val="en-US"/>
              </w:rPr>
              <w:t>Shaldon</w:t>
            </w:r>
            <w:r>
              <w:rPr>
                <w:rFonts w:ascii="Arial" w:hAnsi="Arial" w:cs="Arial"/>
                <w:sz w:val="20"/>
                <w:szCs w:val="20"/>
                <w:lang w:val="en-US"/>
              </w:rPr>
              <w:t xml:space="preserve"> </w:t>
            </w:r>
            <w:r w:rsidRPr="00E72339">
              <w:rPr>
                <w:rFonts w:ascii="Arial" w:hAnsi="Arial" w:cs="Arial"/>
                <w:sz w:val="20"/>
                <w:szCs w:val="20"/>
                <w:lang w:val="en-US"/>
              </w:rPr>
              <w:t>Sailing Club</w:t>
            </w:r>
          </w:p>
          <w:p w:rsidR="00421F74" w:rsidRDefault="00421F74" w:rsidP="00421F74">
            <w:pPr>
              <w:rPr>
                <w:rFonts w:ascii="Arial" w:eastAsia="Times New Roman" w:hAnsi="Arial" w:cs="Arial"/>
                <w:color w:val="222222"/>
                <w:sz w:val="20"/>
                <w:szCs w:val="20"/>
              </w:rPr>
            </w:pPr>
            <w:r w:rsidRPr="00E72339">
              <w:rPr>
                <w:rFonts w:ascii="Arial" w:hAnsi="Arial" w:cs="Arial"/>
                <w:sz w:val="20"/>
                <w:szCs w:val="20"/>
                <w:lang w:val="en-US"/>
              </w:rPr>
              <w:t>Shaldon Regatta</w:t>
            </w:r>
            <w:r w:rsidRPr="00E72339">
              <w:rPr>
                <w:rFonts w:ascii="Arial" w:eastAsia="Times New Roman" w:hAnsi="Arial" w:cs="Arial"/>
                <w:color w:val="222222"/>
                <w:sz w:val="20"/>
                <w:szCs w:val="20"/>
              </w:rPr>
              <w:t xml:space="preserve"> </w:t>
            </w:r>
          </w:p>
          <w:p w:rsidR="00421F74" w:rsidRDefault="00421F74" w:rsidP="00421F74">
            <w:pPr>
              <w:rPr>
                <w:rFonts w:ascii="Arial" w:hAnsi="Arial" w:cs="Arial"/>
                <w:sz w:val="20"/>
                <w:szCs w:val="20"/>
                <w:lang w:val="en-US"/>
              </w:rPr>
            </w:pPr>
            <w:r w:rsidRPr="00E72339">
              <w:rPr>
                <w:rFonts w:ascii="Arial" w:eastAsia="Times New Roman" w:hAnsi="Arial" w:cs="Arial"/>
                <w:color w:val="222222"/>
                <w:sz w:val="20"/>
                <w:szCs w:val="20"/>
              </w:rPr>
              <w:t>Teign Sea Angling Club</w:t>
            </w:r>
            <w:r w:rsidRPr="00E72339">
              <w:rPr>
                <w:rFonts w:ascii="Arial" w:hAnsi="Arial" w:cs="Arial"/>
                <w:sz w:val="20"/>
                <w:szCs w:val="20"/>
                <w:lang w:val="en-US"/>
              </w:rPr>
              <w:t xml:space="preserve"> </w:t>
            </w:r>
          </w:p>
          <w:p w:rsidR="00421F74" w:rsidRDefault="00421F74" w:rsidP="00421F74">
            <w:pPr>
              <w:rPr>
                <w:rFonts w:ascii="Arial" w:eastAsia="Times New Roman" w:hAnsi="Arial" w:cs="Arial"/>
                <w:color w:val="222222"/>
                <w:sz w:val="20"/>
                <w:szCs w:val="20"/>
              </w:rPr>
            </w:pPr>
            <w:r w:rsidRPr="00E72339">
              <w:rPr>
                <w:rFonts w:ascii="Arial" w:hAnsi="Arial" w:cs="Arial"/>
                <w:sz w:val="20"/>
                <w:szCs w:val="20"/>
                <w:lang w:val="en-US"/>
              </w:rPr>
              <w:t>Teignmouth Regatta</w:t>
            </w:r>
            <w:r w:rsidRPr="00E72339">
              <w:rPr>
                <w:rFonts w:ascii="Arial" w:eastAsia="Times New Roman" w:hAnsi="Arial" w:cs="Arial"/>
                <w:color w:val="222222"/>
                <w:sz w:val="20"/>
                <w:szCs w:val="20"/>
              </w:rPr>
              <w:t xml:space="preserve"> </w:t>
            </w:r>
          </w:p>
          <w:p w:rsidR="00421F74" w:rsidRDefault="00421F74" w:rsidP="00421F74">
            <w:pPr>
              <w:rPr>
                <w:rFonts w:ascii="Arial" w:eastAsia="Times New Roman" w:hAnsi="Arial" w:cs="Arial"/>
                <w:color w:val="222222"/>
                <w:sz w:val="20"/>
                <w:szCs w:val="20"/>
              </w:rPr>
            </w:pPr>
            <w:r w:rsidRPr="00E72339">
              <w:rPr>
                <w:rFonts w:ascii="Arial" w:eastAsia="Times New Roman" w:hAnsi="Arial" w:cs="Arial"/>
                <w:color w:val="222222"/>
                <w:sz w:val="20"/>
                <w:szCs w:val="20"/>
              </w:rPr>
              <w:t>Teign</w:t>
            </w:r>
            <w:r w:rsidR="00E15585">
              <w:rPr>
                <w:rFonts w:ascii="Arial" w:eastAsia="Times New Roman" w:hAnsi="Arial" w:cs="Arial"/>
                <w:color w:val="222222"/>
                <w:sz w:val="20"/>
                <w:szCs w:val="20"/>
              </w:rPr>
              <w:t xml:space="preserve"> / South Devon</w:t>
            </w:r>
            <w:r w:rsidRPr="00E72339">
              <w:rPr>
                <w:rFonts w:ascii="Arial" w:eastAsia="Times New Roman" w:hAnsi="Arial" w:cs="Arial"/>
                <w:color w:val="222222"/>
                <w:sz w:val="20"/>
                <w:szCs w:val="20"/>
              </w:rPr>
              <w:t xml:space="preserve"> Water Ski Club</w:t>
            </w:r>
          </w:p>
          <w:p w:rsidR="00421F74" w:rsidRDefault="00421F74" w:rsidP="00421F74">
            <w:pPr>
              <w:rPr>
                <w:rFonts w:ascii="Arial" w:hAnsi="Arial" w:cs="Arial"/>
                <w:sz w:val="20"/>
                <w:szCs w:val="20"/>
                <w:lang w:val="en-US"/>
              </w:rPr>
            </w:pPr>
            <w:r>
              <w:rPr>
                <w:rFonts w:ascii="Arial" w:eastAsia="Times New Roman" w:hAnsi="Arial" w:cs="Arial"/>
                <w:color w:val="222222"/>
                <w:sz w:val="20"/>
                <w:szCs w:val="20"/>
              </w:rPr>
              <w:t>River Teign Rowing Club (</w:t>
            </w:r>
            <w:r w:rsidRPr="00E72339">
              <w:rPr>
                <w:rFonts w:ascii="Arial" w:hAnsi="Arial" w:cs="Arial"/>
                <w:sz w:val="20"/>
                <w:szCs w:val="20"/>
                <w:lang w:val="en-US"/>
              </w:rPr>
              <w:t>RTRC</w:t>
            </w:r>
            <w:r>
              <w:rPr>
                <w:rFonts w:ascii="Arial" w:hAnsi="Arial" w:cs="Arial"/>
                <w:sz w:val="20"/>
                <w:szCs w:val="20"/>
                <w:lang w:val="en-US"/>
              </w:rPr>
              <w:t>)</w:t>
            </w:r>
          </w:p>
          <w:p w:rsidR="00386AC0" w:rsidRDefault="00386AC0" w:rsidP="00421F74">
            <w:pPr>
              <w:rPr>
                <w:rFonts w:ascii="Arial" w:hAnsi="Arial" w:cs="Arial"/>
                <w:sz w:val="20"/>
                <w:szCs w:val="20"/>
                <w:lang w:val="en-US"/>
              </w:rPr>
            </w:pPr>
            <w:r>
              <w:rPr>
                <w:rFonts w:ascii="Arial" w:hAnsi="Arial" w:cs="Arial"/>
                <w:sz w:val="20"/>
                <w:szCs w:val="20"/>
                <w:lang w:val="en-US"/>
              </w:rPr>
              <w:t>Canoe Club</w:t>
            </w:r>
          </w:p>
          <w:p w:rsidR="00386AC0" w:rsidRPr="00E72339" w:rsidRDefault="00386AC0" w:rsidP="00421F74">
            <w:pPr>
              <w:rPr>
                <w:rFonts w:ascii="Arial" w:hAnsi="Arial" w:cs="Arial"/>
                <w:sz w:val="20"/>
                <w:szCs w:val="20"/>
                <w:lang w:val="en-US"/>
              </w:rPr>
            </w:pPr>
            <w:r>
              <w:rPr>
                <w:rFonts w:ascii="Arial" w:hAnsi="Arial" w:cs="Arial"/>
                <w:sz w:val="20"/>
                <w:szCs w:val="20"/>
                <w:lang w:val="en-US"/>
              </w:rPr>
              <w:t>Sea Cadets</w:t>
            </w:r>
          </w:p>
        </w:tc>
      </w:tr>
      <w:tr w:rsidR="00421F74" w:rsidRPr="00E72339" w:rsidTr="00186560">
        <w:tc>
          <w:tcPr>
            <w:tcW w:w="1980" w:type="dxa"/>
            <w:vAlign w:val="center"/>
          </w:tcPr>
          <w:p w:rsidR="00421F74" w:rsidRDefault="00421F74" w:rsidP="00421F74">
            <w:pPr>
              <w:rPr>
                <w:rFonts w:ascii="Arial" w:hAnsi="Arial" w:cs="Arial"/>
                <w:sz w:val="20"/>
                <w:szCs w:val="20"/>
              </w:rPr>
            </w:pPr>
            <w:r>
              <w:rPr>
                <w:rFonts w:ascii="Arial" w:hAnsi="Arial" w:cs="Arial"/>
                <w:sz w:val="20"/>
                <w:szCs w:val="20"/>
              </w:rPr>
              <w:t>Municipal</w:t>
            </w:r>
          </w:p>
        </w:tc>
        <w:tc>
          <w:tcPr>
            <w:tcW w:w="7566" w:type="dxa"/>
          </w:tcPr>
          <w:p w:rsidR="00421F74" w:rsidRDefault="00421F74" w:rsidP="00421F74">
            <w:pPr>
              <w:rPr>
                <w:rFonts w:ascii="Arial" w:hAnsi="Arial" w:cs="Arial"/>
                <w:sz w:val="20"/>
                <w:szCs w:val="20"/>
                <w:lang w:val="en-US"/>
              </w:rPr>
            </w:pPr>
            <w:r>
              <w:rPr>
                <w:rFonts w:ascii="Arial" w:hAnsi="Arial" w:cs="Arial"/>
                <w:sz w:val="20"/>
                <w:szCs w:val="20"/>
                <w:lang w:val="en-US"/>
              </w:rPr>
              <w:t>Bishopsteignton Parish Council</w:t>
            </w:r>
          </w:p>
          <w:p w:rsidR="00421F74" w:rsidRDefault="00421F74" w:rsidP="00421F74">
            <w:pPr>
              <w:rPr>
                <w:rFonts w:ascii="Arial" w:hAnsi="Arial" w:cs="Arial"/>
                <w:sz w:val="20"/>
                <w:szCs w:val="20"/>
                <w:lang w:val="en-US"/>
              </w:rPr>
            </w:pPr>
            <w:r w:rsidRPr="00E72339">
              <w:rPr>
                <w:rFonts w:ascii="Arial" w:hAnsi="Arial" w:cs="Arial"/>
                <w:sz w:val="20"/>
                <w:szCs w:val="20"/>
                <w:lang w:val="en-US"/>
              </w:rPr>
              <w:t xml:space="preserve">Shaldon Parish Council </w:t>
            </w:r>
          </w:p>
          <w:p w:rsidR="00E15585" w:rsidRDefault="00E15585" w:rsidP="00421F74">
            <w:pPr>
              <w:rPr>
                <w:rFonts w:ascii="Arial" w:hAnsi="Arial" w:cs="Arial"/>
                <w:sz w:val="20"/>
                <w:szCs w:val="20"/>
                <w:lang w:val="en-US"/>
              </w:rPr>
            </w:pPr>
            <w:r>
              <w:rPr>
                <w:rFonts w:ascii="Arial" w:hAnsi="Arial" w:cs="Arial"/>
                <w:sz w:val="20"/>
                <w:szCs w:val="20"/>
                <w:lang w:val="en-US"/>
              </w:rPr>
              <w:t>Teignmouth Town Council</w:t>
            </w:r>
          </w:p>
          <w:p w:rsidR="00421F74" w:rsidRPr="00E72339" w:rsidRDefault="00421F74" w:rsidP="00421F74">
            <w:pPr>
              <w:rPr>
                <w:rFonts w:ascii="Arial" w:hAnsi="Arial" w:cs="Arial"/>
                <w:sz w:val="20"/>
                <w:szCs w:val="20"/>
                <w:lang w:val="en-US"/>
              </w:rPr>
            </w:pPr>
            <w:r w:rsidRPr="00E72339">
              <w:rPr>
                <w:rFonts w:ascii="Arial" w:hAnsi="Arial" w:cs="Arial"/>
                <w:sz w:val="20"/>
                <w:szCs w:val="20"/>
                <w:lang w:val="en-US"/>
              </w:rPr>
              <w:t xml:space="preserve">Teignbridge </w:t>
            </w:r>
            <w:r w:rsidR="00E15585">
              <w:rPr>
                <w:rFonts w:ascii="Arial" w:hAnsi="Arial" w:cs="Arial"/>
                <w:sz w:val="20"/>
                <w:szCs w:val="20"/>
                <w:lang w:val="en-US"/>
              </w:rPr>
              <w:t xml:space="preserve">District </w:t>
            </w:r>
            <w:r w:rsidRPr="00E72339">
              <w:rPr>
                <w:rFonts w:ascii="Arial" w:hAnsi="Arial" w:cs="Arial"/>
                <w:sz w:val="20"/>
                <w:szCs w:val="20"/>
                <w:lang w:val="en-US"/>
              </w:rPr>
              <w:t>Council</w:t>
            </w:r>
          </w:p>
        </w:tc>
      </w:tr>
      <w:tr w:rsidR="00421F74" w:rsidRPr="00E72339" w:rsidTr="00186560">
        <w:tc>
          <w:tcPr>
            <w:tcW w:w="1980" w:type="dxa"/>
            <w:vAlign w:val="center"/>
          </w:tcPr>
          <w:p w:rsidR="00421F74" w:rsidRPr="00E72339" w:rsidRDefault="00E15585" w:rsidP="00421F74">
            <w:pPr>
              <w:rPr>
                <w:rFonts w:ascii="Arial" w:hAnsi="Arial" w:cs="Arial"/>
                <w:sz w:val="20"/>
                <w:szCs w:val="20"/>
              </w:rPr>
            </w:pPr>
            <w:r>
              <w:rPr>
                <w:rFonts w:ascii="Arial" w:hAnsi="Arial" w:cs="Arial"/>
                <w:sz w:val="20"/>
                <w:szCs w:val="20"/>
              </w:rPr>
              <w:t>Safety</w:t>
            </w:r>
          </w:p>
        </w:tc>
        <w:tc>
          <w:tcPr>
            <w:tcW w:w="7566" w:type="dxa"/>
          </w:tcPr>
          <w:p w:rsidR="00421F74" w:rsidRDefault="00E15585" w:rsidP="00421F74">
            <w:pPr>
              <w:rPr>
                <w:rFonts w:ascii="Arial" w:hAnsi="Arial" w:cs="Arial"/>
                <w:sz w:val="20"/>
                <w:szCs w:val="20"/>
                <w:lang w:val="en-US"/>
              </w:rPr>
            </w:pPr>
            <w:r>
              <w:rPr>
                <w:rFonts w:ascii="Arial" w:hAnsi="Arial" w:cs="Arial"/>
                <w:sz w:val="20"/>
                <w:szCs w:val="20"/>
                <w:lang w:val="en-US"/>
              </w:rPr>
              <w:t>RNLI</w:t>
            </w:r>
          </w:p>
          <w:p w:rsidR="00E15585" w:rsidRPr="00E72339" w:rsidRDefault="00E15585" w:rsidP="00421F74">
            <w:pPr>
              <w:rPr>
                <w:rFonts w:ascii="Arial" w:hAnsi="Arial" w:cs="Arial"/>
                <w:sz w:val="20"/>
                <w:szCs w:val="20"/>
                <w:lang w:val="en-US"/>
              </w:rPr>
            </w:pPr>
            <w:r>
              <w:rPr>
                <w:rFonts w:ascii="Arial" w:hAnsi="Arial" w:cs="Arial"/>
                <w:sz w:val="20"/>
                <w:szCs w:val="20"/>
                <w:lang w:val="en-US"/>
              </w:rPr>
              <w:t>Devon &amp; Cornwall Police</w:t>
            </w:r>
          </w:p>
        </w:tc>
      </w:tr>
      <w:tr w:rsidR="00421F74" w:rsidRPr="00E72339" w:rsidTr="00186560">
        <w:tc>
          <w:tcPr>
            <w:tcW w:w="1980" w:type="dxa"/>
            <w:vAlign w:val="center"/>
          </w:tcPr>
          <w:p w:rsidR="00421F74" w:rsidRPr="00E72339" w:rsidRDefault="00421F74" w:rsidP="00421F74">
            <w:pPr>
              <w:rPr>
                <w:rFonts w:ascii="Arial" w:hAnsi="Arial" w:cs="Arial"/>
                <w:sz w:val="20"/>
                <w:szCs w:val="20"/>
              </w:rPr>
            </w:pPr>
            <w:r w:rsidRPr="00E72339">
              <w:rPr>
                <w:rFonts w:ascii="Arial" w:hAnsi="Arial" w:cs="Arial"/>
                <w:sz w:val="20"/>
                <w:szCs w:val="20"/>
              </w:rPr>
              <w:t>Invitees</w:t>
            </w:r>
            <w:r w:rsidR="00E15585">
              <w:rPr>
                <w:rFonts w:ascii="Arial" w:hAnsi="Arial" w:cs="Arial"/>
                <w:sz w:val="20"/>
                <w:szCs w:val="20"/>
              </w:rPr>
              <w:t xml:space="preserve"> By invitation)</w:t>
            </w:r>
          </w:p>
        </w:tc>
        <w:tc>
          <w:tcPr>
            <w:tcW w:w="7566" w:type="dxa"/>
          </w:tcPr>
          <w:p w:rsidR="00421F74" w:rsidRDefault="00421F74" w:rsidP="00421F74">
            <w:pPr>
              <w:rPr>
                <w:rFonts w:ascii="Arial" w:hAnsi="Arial" w:cs="Arial"/>
                <w:sz w:val="20"/>
                <w:szCs w:val="20"/>
                <w:lang w:val="en-US"/>
              </w:rPr>
            </w:pPr>
            <w:r w:rsidRPr="00E72339">
              <w:rPr>
                <w:rFonts w:ascii="Arial" w:hAnsi="Arial" w:cs="Arial"/>
                <w:sz w:val="20"/>
                <w:szCs w:val="20"/>
                <w:lang w:val="en-US"/>
              </w:rPr>
              <w:t>As required to present or brief and subject or interest to the users.</w:t>
            </w:r>
          </w:p>
          <w:p w:rsidR="00421F74" w:rsidRDefault="00421F74" w:rsidP="00421F74">
            <w:pPr>
              <w:rPr>
                <w:rFonts w:ascii="Arial" w:hAnsi="Arial" w:cs="Arial"/>
                <w:sz w:val="20"/>
                <w:szCs w:val="20"/>
                <w:lang w:val="en-US"/>
              </w:rPr>
            </w:pPr>
            <w:r>
              <w:rPr>
                <w:rFonts w:ascii="Arial" w:hAnsi="Arial" w:cs="Arial"/>
                <w:sz w:val="20"/>
                <w:szCs w:val="20"/>
                <w:lang w:val="en-US"/>
              </w:rPr>
              <w:t>Devon and Severn IFCA</w:t>
            </w:r>
          </w:p>
          <w:p w:rsidR="00421F74" w:rsidRDefault="00421F74" w:rsidP="00421F74">
            <w:pPr>
              <w:rPr>
                <w:rFonts w:ascii="Arial" w:hAnsi="Arial" w:cs="Arial"/>
                <w:sz w:val="20"/>
                <w:szCs w:val="20"/>
                <w:lang w:val="en-US"/>
              </w:rPr>
            </w:pPr>
            <w:r>
              <w:rPr>
                <w:rFonts w:ascii="Arial" w:hAnsi="Arial" w:cs="Arial"/>
                <w:sz w:val="20"/>
                <w:szCs w:val="20"/>
                <w:lang w:val="en-US"/>
              </w:rPr>
              <w:t>UK Border Force</w:t>
            </w:r>
          </w:p>
          <w:p w:rsidR="00421F74" w:rsidRDefault="00421F74" w:rsidP="00421F74">
            <w:pPr>
              <w:rPr>
                <w:rFonts w:ascii="Arial" w:hAnsi="Arial" w:cs="Arial"/>
                <w:sz w:val="20"/>
                <w:szCs w:val="20"/>
                <w:lang w:val="en-US"/>
              </w:rPr>
            </w:pPr>
            <w:r>
              <w:rPr>
                <w:rFonts w:ascii="Arial" w:hAnsi="Arial" w:cs="Arial"/>
                <w:sz w:val="20"/>
                <w:szCs w:val="20"/>
                <w:lang w:val="en-US"/>
              </w:rPr>
              <w:t>Network Rail</w:t>
            </w:r>
          </w:p>
          <w:p w:rsidR="00421F74" w:rsidRPr="00E72339" w:rsidRDefault="00E15585" w:rsidP="00E15585">
            <w:pPr>
              <w:rPr>
                <w:rFonts w:ascii="Arial" w:hAnsi="Arial" w:cs="Arial"/>
                <w:sz w:val="20"/>
                <w:szCs w:val="20"/>
              </w:rPr>
            </w:pPr>
            <w:r>
              <w:rPr>
                <w:rFonts w:ascii="Arial" w:hAnsi="Arial" w:cs="Arial"/>
                <w:sz w:val="20"/>
                <w:szCs w:val="20"/>
                <w:lang w:val="en-US"/>
              </w:rPr>
              <w:t>Coastguard</w:t>
            </w:r>
          </w:p>
        </w:tc>
      </w:tr>
    </w:tbl>
    <w:p w:rsidR="00386AC0" w:rsidRDefault="00386AC0" w:rsidP="00CC2361">
      <w:pPr>
        <w:rPr>
          <w:rFonts w:ascii="Arial" w:hAnsi="Arial" w:cs="Arial"/>
        </w:rPr>
      </w:pPr>
    </w:p>
    <w:p w:rsidR="00386AC0" w:rsidRDefault="00386AC0" w:rsidP="00CC2361">
      <w:pPr>
        <w:rPr>
          <w:rFonts w:ascii="Arial" w:hAnsi="Arial" w:cs="Arial"/>
        </w:rPr>
      </w:pPr>
    </w:p>
    <w:p w:rsidR="00386AC0" w:rsidRDefault="00386AC0" w:rsidP="00CC2361">
      <w:pPr>
        <w:rPr>
          <w:rFonts w:ascii="Arial" w:hAnsi="Arial" w:cs="Arial"/>
        </w:rPr>
      </w:pPr>
    </w:p>
    <w:p w:rsidR="00CC2361" w:rsidRDefault="00CC2361" w:rsidP="00CC2361">
      <w:pPr>
        <w:rPr>
          <w:rFonts w:ascii="Arial" w:hAnsi="Arial" w:cs="Arial"/>
        </w:rPr>
      </w:pPr>
      <w:r>
        <w:rPr>
          <w:rFonts w:ascii="Arial" w:hAnsi="Arial" w:cs="Arial"/>
        </w:rPr>
        <w:t>Karen Dalton-Fyfe</w:t>
      </w:r>
      <w:r>
        <w:rPr>
          <w:rFonts w:ascii="Arial" w:hAnsi="Arial" w:cs="Arial"/>
        </w:rPr>
        <w:br/>
        <w:t>Chief Executive and Harbour Master</w:t>
      </w:r>
    </w:p>
    <w:p w:rsidR="00CC2361" w:rsidRDefault="00CC2361" w:rsidP="00CC2361">
      <w:pPr>
        <w:rPr>
          <w:rFonts w:ascii="Arial" w:hAnsi="Arial" w:cs="Arial"/>
        </w:rPr>
      </w:pPr>
    </w:p>
    <w:p w:rsidR="00CC2361" w:rsidRDefault="00060F5E" w:rsidP="00CC2361">
      <w:pPr>
        <w:rPr>
          <w:rFonts w:ascii="Arial" w:hAnsi="Arial" w:cs="Arial"/>
        </w:rPr>
      </w:pPr>
      <w:r>
        <w:rPr>
          <w:rFonts w:ascii="Arial" w:hAnsi="Arial" w:cs="Arial"/>
        </w:rPr>
        <w:t>Annex:</w:t>
      </w:r>
    </w:p>
    <w:p w:rsidR="00CC2361" w:rsidRPr="00060F5E" w:rsidRDefault="00060F5E" w:rsidP="00CC2361">
      <w:pPr>
        <w:rPr>
          <w:rFonts w:ascii="Arial" w:hAnsi="Arial" w:cs="Arial"/>
        </w:rPr>
      </w:pPr>
      <w:r w:rsidRPr="00060F5E">
        <w:rPr>
          <w:bCs/>
          <w:iCs/>
        </w:rPr>
        <w:t>A.</w:t>
      </w:r>
      <w:r w:rsidRPr="00060F5E">
        <w:rPr>
          <w:bCs/>
          <w:iCs/>
        </w:rPr>
        <w:tab/>
      </w:r>
      <w:r w:rsidR="00CC2361" w:rsidRPr="00060F5E">
        <w:rPr>
          <w:bCs/>
          <w:iCs/>
        </w:rPr>
        <w:t>Department for Transport (DfT) - Guidance for Trust Ports</w:t>
      </w: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386AC0" w:rsidRDefault="00386AC0" w:rsidP="00CC2361">
      <w:pPr>
        <w:ind w:left="5760"/>
        <w:rPr>
          <w:rFonts w:ascii="Arial" w:hAnsi="Arial" w:cs="Arial"/>
          <w:bCs/>
          <w:iCs/>
        </w:rPr>
      </w:pPr>
    </w:p>
    <w:p w:rsidR="00CC2361" w:rsidRDefault="00060F5E" w:rsidP="00CC2361">
      <w:pPr>
        <w:ind w:left="5760"/>
        <w:rPr>
          <w:rFonts w:ascii="Arial" w:hAnsi="Arial" w:cs="Arial"/>
          <w:bCs/>
          <w:iCs/>
        </w:rPr>
      </w:pPr>
      <w:r>
        <w:rPr>
          <w:rFonts w:ascii="Arial" w:hAnsi="Arial" w:cs="Arial"/>
          <w:bCs/>
          <w:iCs/>
        </w:rPr>
        <w:t>Annex</w:t>
      </w:r>
      <w:r w:rsidR="00CC2361">
        <w:rPr>
          <w:rFonts w:ascii="Arial" w:hAnsi="Arial" w:cs="Arial"/>
          <w:bCs/>
          <w:iCs/>
        </w:rPr>
        <w:t xml:space="preserve"> </w:t>
      </w:r>
      <w:r>
        <w:rPr>
          <w:rFonts w:ascii="Arial" w:hAnsi="Arial" w:cs="Arial"/>
          <w:bCs/>
          <w:iCs/>
        </w:rPr>
        <w:t xml:space="preserve">A </w:t>
      </w:r>
      <w:r w:rsidR="00CC2361">
        <w:rPr>
          <w:rFonts w:ascii="Arial" w:hAnsi="Arial" w:cs="Arial"/>
          <w:bCs/>
          <w:iCs/>
        </w:rPr>
        <w:t xml:space="preserve">to </w:t>
      </w:r>
      <w:r w:rsidR="00CC2361">
        <w:rPr>
          <w:rFonts w:ascii="Arial" w:hAnsi="Arial" w:cs="Arial"/>
          <w:bCs/>
          <w:iCs/>
        </w:rPr>
        <w:br/>
        <w:t>Teignmouth Consultative Body</w:t>
      </w:r>
      <w:r w:rsidR="00CC2361">
        <w:rPr>
          <w:rFonts w:ascii="Arial" w:hAnsi="Arial" w:cs="Arial"/>
          <w:bCs/>
          <w:iCs/>
        </w:rPr>
        <w:br/>
        <w:t>Roles and Procedures</w:t>
      </w:r>
      <w:r w:rsidR="00CC2361">
        <w:rPr>
          <w:rFonts w:ascii="Arial" w:hAnsi="Arial" w:cs="Arial"/>
          <w:bCs/>
          <w:iCs/>
        </w:rPr>
        <w:br/>
        <w:t>Dated 24Mar 22</w:t>
      </w:r>
    </w:p>
    <w:p w:rsidR="00CC2361" w:rsidRPr="00CC2361" w:rsidRDefault="00CC2361" w:rsidP="00CC2361">
      <w:pPr>
        <w:rPr>
          <w:rFonts w:ascii="Arial" w:hAnsi="Arial" w:cs="Arial"/>
          <w:bCs/>
          <w:iCs/>
        </w:rPr>
      </w:pP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r>
        <w:rPr>
          <w:rFonts w:ascii="Arial" w:hAnsi="Arial" w:cs="Arial"/>
          <w:bCs/>
          <w:iCs/>
        </w:rPr>
        <w:tab/>
      </w:r>
    </w:p>
    <w:p w:rsidR="00CC2361" w:rsidRDefault="00CC2361" w:rsidP="00CC2361">
      <w:pPr>
        <w:rPr>
          <w:rFonts w:ascii="Arial" w:hAnsi="Arial" w:cs="Arial"/>
          <w:b/>
          <w:bCs/>
          <w:i/>
          <w:iCs/>
        </w:rPr>
      </w:pPr>
    </w:p>
    <w:p w:rsidR="00CC2361" w:rsidRPr="00CC2361" w:rsidRDefault="00CC2361" w:rsidP="00CC2361">
      <w:pPr>
        <w:rPr>
          <w:rFonts w:ascii="Arial" w:hAnsi="Arial" w:cs="Arial"/>
          <w:b/>
          <w:bCs/>
          <w:i/>
          <w:iCs/>
        </w:rPr>
      </w:pPr>
      <w:r w:rsidRPr="00CC2361">
        <w:rPr>
          <w:rFonts w:ascii="Arial" w:hAnsi="Arial" w:cs="Arial"/>
          <w:b/>
          <w:bCs/>
          <w:i/>
          <w:iCs/>
        </w:rPr>
        <w:t>Department for Transport (DfT) - Guidance for Trust Ports</w:t>
      </w:r>
      <w:r w:rsidRPr="00CC2361">
        <w:rPr>
          <w:rStyle w:val="FootnoteReference"/>
          <w:rFonts w:ascii="Arial" w:hAnsi="Arial" w:cs="Arial"/>
          <w:b/>
          <w:bCs/>
          <w:i/>
          <w:iCs/>
        </w:rPr>
        <w:footnoteReference w:id="2"/>
      </w:r>
    </w:p>
    <w:p w:rsidR="00CC2361" w:rsidRPr="00CC2361" w:rsidRDefault="00CC2361" w:rsidP="00CC2361">
      <w:pPr>
        <w:rPr>
          <w:rFonts w:ascii="Arial" w:hAnsi="Arial" w:cs="Arial"/>
        </w:rPr>
      </w:pPr>
      <w:r w:rsidRPr="00CC2361">
        <w:rPr>
          <w:rFonts w:ascii="Arial" w:hAnsi="Arial" w:cs="Arial"/>
        </w:rPr>
        <w:t>Principles</w:t>
      </w:r>
    </w:p>
    <w:p w:rsidR="00CC2361" w:rsidRPr="00CC2361" w:rsidRDefault="00CC2361" w:rsidP="00CC2361">
      <w:pPr>
        <w:pStyle w:val="ListParagraph"/>
        <w:numPr>
          <w:ilvl w:val="0"/>
          <w:numId w:val="2"/>
        </w:numPr>
        <w:rPr>
          <w:rFonts w:ascii="Arial" w:hAnsi="Arial" w:cs="Arial"/>
        </w:rPr>
      </w:pPr>
      <w:r w:rsidRPr="00CC2361">
        <w:rPr>
          <w:rFonts w:ascii="Arial" w:hAnsi="Arial" w:cs="Arial"/>
        </w:rPr>
        <w:t>Trust ports are independent statutory bodies run on a commercial basis by independent boards for the benefit of their stakeholders. Trust ports are accountable to those stakeholders. The interests of the wide community of stakeholders should at all times be the guide by which the board of a trust port sets the strategy and direction of the port.</w:t>
      </w:r>
    </w:p>
    <w:p w:rsidR="00CC2361" w:rsidRPr="00CC2361" w:rsidRDefault="00CC2361" w:rsidP="00CC2361">
      <w:pPr>
        <w:pStyle w:val="ListParagraph"/>
        <w:numPr>
          <w:ilvl w:val="0"/>
          <w:numId w:val="2"/>
        </w:numPr>
        <w:rPr>
          <w:rFonts w:ascii="Arial" w:hAnsi="Arial" w:cs="Arial"/>
        </w:rPr>
      </w:pPr>
      <w:r w:rsidRPr="00CC2361">
        <w:rPr>
          <w:rFonts w:ascii="Arial" w:hAnsi="Arial" w:cs="Arial"/>
        </w:rPr>
        <w:t xml:space="preserve">Trust port boards should reinvest surpluses to support the continuing and long term success of the port for the benefit of its stakeholders. </w:t>
      </w:r>
    </w:p>
    <w:p w:rsidR="00CC2361" w:rsidRPr="00CC2361" w:rsidRDefault="00CC2361" w:rsidP="00CC2361">
      <w:pPr>
        <w:pStyle w:val="ListParagraph"/>
        <w:numPr>
          <w:ilvl w:val="0"/>
          <w:numId w:val="2"/>
        </w:numPr>
        <w:rPr>
          <w:rFonts w:ascii="Arial" w:hAnsi="Arial" w:cs="Arial"/>
        </w:rPr>
      </w:pPr>
      <w:r w:rsidRPr="00CC2361">
        <w:rPr>
          <w:rFonts w:ascii="Arial" w:hAnsi="Arial" w:cs="Arial"/>
        </w:rPr>
        <w:t>Trust port boards should consult stakeholders on significant decisions, where appropriate. Trust ports can and should consult and engage with stakeholders in a variety of ways including through an open Annual Meeting.</w:t>
      </w:r>
    </w:p>
    <w:p w:rsidR="00CC2361" w:rsidRPr="00CC2361" w:rsidRDefault="00CC2361" w:rsidP="00CC2361">
      <w:pPr>
        <w:rPr>
          <w:rFonts w:ascii="Arial" w:hAnsi="Arial" w:cs="Arial"/>
        </w:rPr>
      </w:pPr>
    </w:p>
    <w:p w:rsidR="00CC2361" w:rsidRPr="00CC2361" w:rsidRDefault="00CC2361" w:rsidP="00CC2361">
      <w:pPr>
        <w:rPr>
          <w:rFonts w:ascii="Arial" w:hAnsi="Arial" w:cs="Arial"/>
        </w:rPr>
      </w:pPr>
      <w:r w:rsidRPr="00CC2361">
        <w:rPr>
          <w:rFonts w:ascii="Arial" w:hAnsi="Arial" w:cs="Arial"/>
        </w:rPr>
        <w:t>Supporting Discussion</w:t>
      </w:r>
    </w:p>
    <w:p w:rsidR="00CC2361" w:rsidRPr="00CC2361" w:rsidRDefault="00CC2361" w:rsidP="00CC2361">
      <w:pPr>
        <w:rPr>
          <w:rFonts w:ascii="Arial" w:hAnsi="Arial" w:cs="Arial"/>
        </w:rPr>
      </w:pPr>
      <w:r w:rsidRPr="00CC2361">
        <w:rPr>
          <w:rFonts w:ascii="Arial" w:hAnsi="Arial" w:cs="Arial"/>
        </w:rPr>
        <w:t xml:space="preserve">Trust ports need to take into account the views of a wide range of stakeholders when considering and establishing their </w:t>
      </w:r>
      <w:r w:rsidRPr="00CC2361">
        <w:rPr>
          <w:rFonts w:ascii="Arial" w:hAnsi="Arial" w:cs="Arial"/>
          <w:b/>
        </w:rPr>
        <w:t>medium to long term objectives</w:t>
      </w:r>
      <w:r w:rsidRPr="00CC2361">
        <w:rPr>
          <w:rFonts w:ascii="Arial" w:hAnsi="Arial" w:cs="Arial"/>
        </w:rPr>
        <w:t>. Key to this is identifying and engaging effectively with stakeholders, as discussed below. In addition to helping frame strategic objectives, this is also an essential way in which trust ports are accountable to their stakeholders.</w:t>
      </w:r>
    </w:p>
    <w:p w:rsidR="00CC2361" w:rsidRPr="00CC2361" w:rsidRDefault="00CC2361" w:rsidP="00CC2361">
      <w:pPr>
        <w:rPr>
          <w:rFonts w:ascii="Arial" w:hAnsi="Arial" w:cs="Arial"/>
        </w:rPr>
      </w:pPr>
      <w:r w:rsidRPr="00CC2361">
        <w:rPr>
          <w:rFonts w:ascii="Arial" w:hAnsi="Arial" w:cs="Arial"/>
        </w:rPr>
        <w:t>Stakeholder Benefit</w:t>
      </w:r>
    </w:p>
    <w:p w:rsidR="00CC2361" w:rsidRPr="00CC2361" w:rsidRDefault="00CC2361" w:rsidP="00CC2361">
      <w:pPr>
        <w:rPr>
          <w:rFonts w:ascii="Arial" w:hAnsi="Arial" w:cs="Arial"/>
        </w:rPr>
      </w:pPr>
      <w:r w:rsidRPr="00CC2361">
        <w:rPr>
          <w:rFonts w:ascii="Arial" w:hAnsi="Arial" w:cs="Arial"/>
        </w:rPr>
        <w:t xml:space="preserve">Trust ports are expected to generate a commercial return on their operations. After making allowance for strategic investments and contingencies, trust port boards should reinvest surpluses to support the continuing and long term success of a port for the benefit of stakeholders. In addition to additional investment on a commercial basis, there are a number of ways in which a trust port board can do this including: </w:t>
      </w:r>
    </w:p>
    <w:p w:rsidR="00CC2361" w:rsidRPr="00CC2361" w:rsidRDefault="00CC2361" w:rsidP="00CC2361">
      <w:pPr>
        <w:ind w:left="720"/>
        <w:rPr>
          <w:rFonts w:ascii="Arial" w:hAnsi="Arial" w:cs="Arial"/>
        </w:rPr>
      </w:pPr>
      <w:r w:rsidRPr="00CC2361">
        <w:rPr>
          <w:rFonts w:ascii="Arial" w:hAnsi="Arial" w:cs="Arial"/>
        </w:rPr>
        <w:t xml:space="preserve">• investing in infrastructure, with a longer term view than might be expected on a purely commercial basis; </w:t>
      </w:r>
    </w:p>
    <w:p w:rsidR="00CC2361" w:rsidRPr="00CC2361" w:rsidRDefault="00CC2361" w:rsidP="00CC2361">
      <w:pPr>
        <w:ind w:left="720"/>
        <w:rPr>
          <w:rFonts w:ascii="Arial" w:hAnsi="Arial" w:cs="Arial"/>
        </w:rPr>
      </w:pPr>
      <w:r w:rsidRPr="00CC2361">
        <w:rPr>
          <w:rFonts w:ascii="Arial" w:hAnsi="Arial" w:cs="Arial"/>
        </w:rPr>
        <w:t xml:space="preserve">• investing in infrastructure or environmental improvements, to a higher standard or greater extent, bringing quantifiable benefits to stakeholders; </w:t>
      </w:r>
    </w:p>
    <w:p w:rsidR="00CC2361" w:rsidRPr="00CC2361" w:rsidRDefault="00CC2361" w:rsidP="00CC2361">
      <w:pPr>
        <w:ind w:left="720"/>
        <w:rPr>
          <w:rFonts w:ascii="Arial" w:hAnsi="Arial" w:cs="Arial"/>
        </w:rPr>
      </w:pPr>
      <w:r w:rsidRPr="00CC2361">
        <w:rPr>
          <w:rFonts w:ascii="Arial" w:hAnsi="Arial" w:cs="Arial"/>
        </w:rPr>
        <w:t xml:space="preserve">• undertaking activities that have a lower commercial return than a private sector port would undertake, but which delivers benefits for stakeholders, such as local communities; </w:t>
      </w:r>
    </w:p>
    <w:p w:rsidR="00CC2361" w:rsidRPr="00CC2361" w:rsidRDefault="00CC2361" w:rsidP="00CC2361">
      <w:pPr>
        <w:ind w:left="720"/>
        <w:rPr>
          <w:rFonts w:ascii="Arial" w:hAnsi="Arial" w:cs="Arial"/>
        </w:rPr>
      </w:pPr>
      <w:r w:rsidRPr="00CC2361">
        <w:rPr>
          <w:rFonts w:ascii="Arial" w:hAnsi="Arial" w:cs="Arial"/>
        </w:rPr>
        <w:t xml:space="preserve">• providing additional employee training where this helps develop the local skills base; and </w:t>
      </w:r>
    </w:p>
    <w:p w:rsidR="00CC2361" w:rsidRPr="00CC2361" w:rsidRDefault="00CC2361" w:rsidP="00CC2361">
      <w:pPr>
        <w:ind w:left="720"/>
        <w:rPr>
          <w:rFonts w:ascii="Arial" w:hAnsi="Arial" w:cs="Arial"/>
        </w:rPr>
      </w:pPr>
      <w:r w:rsidRPr="00CC2361">
        <w:rPr>
          <w:rFonts w:ascii="Arial" w:hAnsi="Arial" w:cs="Arial"/>
        </w:rPr>
        <w:t xml:space="preserve">• making charitable contributions or grants to community projects or organisations. </w:t>
      </w:r>
    </w:p>
    <w:p w:rsidR="00CC2361" w:rsidRPr="00CC2361" w:rsidRDefault="00CC2361" w:rsidP="00CC2361">
      <w:pPr>
        <w:rPr>
          <w:rFonts w:ascii="Arial" w:hAnsi="Arial" w:cs="Arial"/>
        </w:rPr>
      </w:pPr>
      <w:r w:rsidRPr="00CC2361">
        <w:rPr>
          <w:rFonts w:ascii="Arial" w:hAnsi="Arial" w:cs="Arial"/>
        </w:rPr>
        <w:t xml:space="preserve">Priorities for delivery of stakeholder benefit should be established by the board following consultation with stakeholders and recorded, perhaps as part of an overall investment strategy. Stakeholder benefits should have a clear rationale and be consistent with the commercial considerations discussed above. Their delivery should not be directed towards practices which may distort the market on which a port operates. Investment in the harbour should be fair and equitable between stakeholders. </w:t>
      </w:r>
    </w:p>
    <w:p w:rsidR="00CC2361" w:rsidRPr="00CC2361" w:rsidRDefault="00CC2361" w:rsidP="00CC2361">
      <w:pPr>
        <w:rPr>
          <w:rFonts w:ascii="Arial" w:hAnsi="Arial" w:cs="Arial"/>
        </w:rPr>
      </w:pPr>
      <w:r w:rsidRPr="00CC2361">
        <w:rPr>
          <w:rFonts w:ascii="Arial" w:hAnsi="Arial" w:cs="Arial"/>
        </w:rPr>
        <w:t xml:space="preserve">Engagement </w:t>
      </w:r>
    </w:p>
    <w:p w:rsidR="00CC2361" w:rsidRPr="00CC2361" w:rsidRDefault="00CC2361" w:rsidP="00CC2361">
      <w:pPr>
        <w:rPr>
          <w:rFonts w:ascii="Arial" w:hAnsi="Arial" w:cs="Arial"/>
        </w:rPr>
      </w:pPr>
      <w:r w:rsidRPr="00CC2361">
        <w:rPr>
          <w:rFonts w:ascii="Arial" w:hAnsi="Arial" w:cs="Arial"/>
        </w:rPr>
        <w:t xml:space="preserve">Stakeholder engagement and consultation is of an even higher priority than for other SHAs. It is a key way in which trust port boards can demonstrate and ensure accountability. For many trust ports, interaction with the local community is likely to be particularly important. </w:t>
      </w:r>
    </w:p>
    <w:p w:rsidR="00CC2361" w:rsidRPr="00CC2361" w:rsidRDefault="00CC2361" w:rsidP="00CC2361">
      <w:pPr>
        <w:rPr>
          <w:rFonts w:ascii="Arial" w:hAnsi="Arial" w:cs="Arial"/>
        </w:rPr>
      </w:pPr>
      <w:r w:rsidRPr="00CC2361">
        <w:rPr>
          <w:rFonts w:ascii="Arial" w:hAnsi="Arial" w:cs="Arial"/>
        </w:rPr>
        <w:t>As a starting point, trust port boards should consult stakeholders on significant decisions where appropriate. DfT does not envision that all decisions should be consulted on as there are likely to be occasions where this will not be practicable, for example due to timing considerations, or appropriate, for example due to commercial reasons or as it concerns staff-related issues. Boards are responsible for taking decisions on all issues that come before it, having considered and weighed the views and advice received including from stakeholders. The board is best place to judge the overall impact of its decisions.</w:t>
      </w:r>
    </w:p>
    <w:p w:rsidR="00CC2361" w:rsidRPr="00CC2361" w:rsidRDefault="00CC2361" w:rsidP="00CC2361">
      <w:pPr>
        <w:rPr>
          <w:rFonts w:ascii="Arial" w:hAnsi="Arial" w:cs="Arial"/>
        </w:rPr>
      </w:pPr>
      <w:r w:rsidRPr="00CC2361">
        <w:rPr>
          <w:rFonts w:ascii="Arial" w:hAnsi="Arial" w:cs="Arial"/>
        </w:rPr>
        <w:t xml:space="preserve">There are a number of ways in which trust ports can consult stakeholders, which many ports already utilise. In addition, trust ports should have an annual open meeting that all stakeholders can attend with the opportunity to put questions to the chair, other board members and senior executives. </w:t>
      </w:r>
    </w:p>
    <w:p w:rsidR="00CC2361" w:rsidRPr="00CC2361" w:rsidRDefault="00CC2361" w:rsidP="00CC2361">
      <w:pPr>
        <w:rPr>
          <w:rFonts w:ascii="Arial" w:hAnsi="Arial" w:cs="Arial"/>
        </w:rPr>
      </w:pPr>
      <w:r w:rsidRPr="00CC2361">
        <w:rPr>
          <w:rFonts w:ascii="Arial" w:hAnsi="Arial" w:cs="Arial"/>
        </w:rPr>
        <w:t>There are a wide range of other ways in which trust ports can engage with stakeholders. For example, one trust port has established a stakeholder committee with major port users and local authority interests as a formal board committee to provide a stakeholder views directly to the board.</w:t>
      </w:r>
    </w:p>
    <w:p w:rsidR="00213FE6" w:rsidRPr="00213FE6" w:rsidRDefault="00213FE6" w:rsidP="00213FE6">
      <w:pPr>
        <w:spacing w:after="100" w:afterAutospacing="1"/>
        <w:rPr>
          <w:rFonts w:ascii="Arial" w:hAnsi="Arial" w:cs="Arial"/>
        </w:rPr>
      </w:pPr>
    </w:p>
    <w:sectPr w:rsidR="00213FE6" w:rsidRPr="00213FE6" w:rsidSect="00213FE6">
      <w:pgSz w:w="11906" w:h="16838"/>
      <w:pgMar w:top="567" w:right="1418"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B2AEC" w:rsidRDefault="008B2AEC" w:rsidP="00213FE6">
      <w:pPr>
        <w:spacing w:after="0" w:line="240" w:lineRule="auto"/>
      </w:pPr>
      <w:r>
        <w:separator/>
      </w:r>
    </w:p>
  </w:endnote>
  <w:endnote w:type="continuationSeparator" w:id="0">
    <w:p w:rsidR="008B2AEC" w:rsidRDefault="008B2AEC" w:rsidP="00213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55 Roman">
    <w:altName w:val="Calibri"/>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45 Light">
    <w:altName w:val="Calibri"/>
    <w:charset w:val="00"/>
    <w:family w:val="swiss"/>
    <w:pitch w:val="variable"/>
    <w:sig w:usb0="80000027"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B2AEC" w:rsidRDefault="008B2AEC" w:rsidP="00213FE6">
      <w:pPr>
        <w:spacing w:after="0" w:line="240" w:lineRule="auto"/>
      </w:pPr>
      <w:r>
        <w:separator/>
      </w:r>
    </w:p>
  </w:footnote>
  <w:footnote w:type="continuationSeparator" w:id="0">
    <w:p w:rsidR="008B2AEC" w:rsidRDefault="008B2AEC" w:rsidP="00213FE6">
      <w:pPr>
        <w:spacing w:after="0" w:line="240" w:lineRule="auto"/>
      </w:pPr>
      <w:r>
        <w:continuationSeparator/>
      </w:r>
    </w:p>
  </w:footnote>
  <w:footnote w:id="1">
    <w:p w:rsidR="00CC2361" w:rsidRPr="00186560" w:rsidRDefault="00CC2361" w:rsidP="00CC2361">
      <w:pPr>
        <w:pStyle w:val="FootnoteText"/>
        <w:rPr>
          <w:lang w:val="en-US"/>
        </w:rPr>
      </w:pPr>
      <w:r>
        <w:rPr>
          <w:rStyle w:val="FootnoteReference"/>
        </w:rPr>
        <w:footnoteRef/>
      </w:r>
      <w:r>
        <w:t xml:space="preserve"> DFT- Ports Good Governance, Moving Britain ahead, March 2018, </w:t>
      </w:r>
      <w:r>
        <w:rPr>
          <w:lang w:val="en-US"/>
        </w:rPr>
        <w:t>Page 30-32</w:t>
      </w:r>
    </w:p>
  </w:footnote>
  <w:footnote w:id="2">
    <w:p w:rsidR="00CC2361" w:rsidRPr="00186560" w:rsidRDefault="00CC2361" w:rsidP="00CC2361">
      <w:pPr>
        <w:pStyle w:val="FootnoteText"/>
        <w:rPr>
          <w:lang w:val="en-US"/>
        </w:rPr>
      </w:pPr>
      <w:r>
        <w:rPr>
          <w:rStyle w:val="FootnoteReference"/>
        </w:rPr>
        <w:footnoteRef/>
      </w:r>
      <w:r>
        <w:t xml:space="preserve"> DFT- Ports Good Governance, Moving Britain ahead, March 2018, </w:t>
      </w:r>
      <w:r>
        <w:rPr>
          <w:lang w:val="en-US"/>
        </w:rPr>
        <w:t>Page 30-32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52266F"/>
    <w:multiLevelType w:val="hybridMultilevel"/>
    <w:tmpl w:val="9EE09FF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A9931F7"/>
    <w:multiLevelType w:val="multilevel"/>
    <w:tmpl w:val="FDB22E20"/>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75494757"/>
    <w:multiLevelType w:val="hybridMultilevel"/>
    <w:tmpl w:val="45A8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6706818">
    <w:abstractNumId w:val="0"/>
  </w:num>
  <w:num w:numId="2" w16cid:durableId="1663048405">
    <w:abstractNumId w:val="2"/>
  </w:num>
  <w:num w:numId="3" w16cid:durableId="196506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43"/>
    <w:rsid w:val="00060F5E"/>
    <w:rsid w:val="0014201A"/>
    <w:rsid w:val="001D03F7"/>
    <w:rsid w:val="00213FE6"/>
    <w:rsid w:val="00355938"/>
    <w:rsid w:val="00386AC0"/>
    <w:rsid w:val="003A3451"/>
    <w:rsid w:val="00421F74"/>
    <w:rsid w:val="004F4DA9"/>
    <w:rsid w:val="0050471B"/>
    <w:rsid w:val="00556296"/>
    <w:rsid w:val="006C6F07"/>
    <w:rsid w:val="00815130"/>
    <w:rsid w:val="008B2AEC"/>
    <w:rsid w:val="008D32A8"/>
    <w:rsid w:val="008F5782"/>
    <w:rsid w:val="00AE7443"/>
    <w:rsid w:val="00CC2361"/>
    <w:rsid w:val="00CC78AE"/>
    <w:rsid w:val="00E15585"/>
    <w:rsid w:val="00E72339"/>
    <w:rsid w:val="00E906FB"/>
    <w:rsid w:val="00EB6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A84C0-B11B-47CC-AFDB-57FE36C5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3FE6"/>
  </w:style>
  <w:style w:type="paragraph" w:styleId="Footer">
    <w:name w:val="footer"/>
    <w:basedOn w:val="Normal"/>
    <w:link w:val="FooterChar"/>
    <w:uiPriority w:val="99"/>
    <w:unhideWhenUsed/>
    <w:rsid w:val="00213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FE6"/>
  </w:style>
  <w:style w:type="character" w:styleId="Hyperlink">
    <w:name w:val="Hyperlink"/>
    <w:uiPriority w:val="99"/>
    <w:unhideWhenUsed/>
    <w:rsid w:val="00213FE6"/>
    <w:rPr>
      <w:color w:val="0000FF"/>
      <w:u w:val="single"/>
    </w:rPr>
  </w:style>
  <w:style w:type="paragraph" w:styleId="ListParagraph">
    <w:name w:val="List Paragraph"/>
    <w:basedOn w:val="Normal"/>
    <w:uiPriority w:val="34"/>
    <w:qFormat/>
    <w:rsid w:val="00213FE6"/>
    <w:pPr>
      <w:ind w:left="720"/>
      <w:contextualSpacing/>
    </w:pPr>
  </w:style>
  <w:style w:type="paragraph" w:styleId="FootnoteText">
    <w:name w:val="footnote text"/>
    <w:basedOn w:val="Normal"/>
    <w:link w:val="FootnoteTextChar"/>
    <w:uiPriority w:val="99"/>
    <w:semiHidden/>
    <w:unhideWhenUsed/>
    <w:rsid w:val="00CC23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2361"/>
    <w:rPr>
      <w:sz w:val="20"/>
      <w:szCs w:val="20"/>
    </w:rPr>
  </w:style>
  <w:style w:type="character" w:styleId="FootnoteReference">
    <w:name w:val="footnote reference"/>
    <w:basedOn w:val="DefaultParagraphFont"/>
    <w:uiPriority w:val="99"/>
    <w:semiHidden/>
    <w:unhideWhenUsed/>
    <w:rsid w:val="00CC2361"/>
    <w:rPr>
      <w:vertAlign w:val="superscript"/>
    </w:rPr>
  </w:style>
  <w:style w:type="paragraph" w:customStyle="1" w:styleId="TableHeading">
    <w:name w:val="Table Heading"/>
    <w:basedOn w:val="Normal"/>
    <w:rsid w:val="00E72339"/>
    <w:pPr>
      <w:spacing w:before="60" w:after="60" w:line="240" w:lineRule="auto"/>
      <w:jc w:val="center"/>
    </w:pPr>
    <w:rPr>
      <w:rFonts w:ascii="Frutiger LT 55 Roman" w:eastAsia="Times New Roman" w:hAnsi="Frutiger LT 55 Roman" w:cs="Arial"/>
      <w:color w:val="FFA02F"/>
      <w:sz w:val="16"/>
      <w:szCs w:val="40"/>
      <w:lang w:eastAsia="en-GB"/>
    </w:rPr>
  </w:style>
  <w:style w:type="paragraph" w:customStyle="1" w:styleId="TableText">
    <w:name w:val="Table Text"/>
    <w:basedOn w:val="Normal"/>
    <w:rsid w:val="00E72339"/>
    <w:pPr>
      <w:spacing w:after="120" w:line="260" w:lineRule="exact"/>
    </w:pPr>
    <w:rPr>
      <w:rFonts w:ascii="Frutiger LT 45 Light" w:eastAsia="Times New Roman" w:hAnsi="Frutiger LT 45 Light" w:cs="Arial"/>
      <w:color w:val="777777"/>
      <w:szCs w:val="40"/>
      <w:lang w:eastAsia="en-GB"/>
    </w:rPr>
  </w:style>
  <w:style w:type="character" w:styleId="CommentReference">
    <w:name w:val="annotation reference"/>
    <w:basedOn w:val="DefaultParagraphFont"/>
    <w:uiPriority w:val="99"/>
    <w:semiHidden/>
    <w:unhideWhenUsed/>
    <w:rsid w:val="00E72339"/>
    <w:rPr>
      <w:sz w:val="16"/>
      <w:szCs w:val="16"/>
    </w:rPr>
  </w:style>
  <w:style w:type="paragraph" w:styleId="CommentText">
    <w:name w:val="annotation text"/>
    <w:basedOn w:val="Normal"/>
    <w:link w:val="CommentTextChar"/>
    <w:uiPriority w:val="99"/>
    <w:semiHidden/>
    <w:unhideWhenUsed/>
    <w:rsid w:val="00E72339"/>
    <w:pPr>
      <w:spacing w:line="240" w:lineRule="auto"/>
    </w:pPr>
    <w:rPr>
      <w:sz w:val="20"/>
      <w:szCs w:val="20"/>
    </w:rPr>
  </w:style>
  <w:style w:type="character" w:customStyle="1" w:styleId="CommentTextChar">
    <w:name w:val="Comment Text Char"/>
    <w:basedOn w:val="DefaultParagraphFont"/>
    <w:link w:val="CommentText"/>
    <w:uiPriority w:val="99"/>
    <w:semiHidden/>
    <w:rsid w:val="00E72339"/>
    <w:rPr>
      <w:sz w:val="20"/>
      <w:szCs w:val="20"/>
    </w:rPr>
  </w:style>
  <w:style w:type="paragraph" w:styleId="BalloonText">
    <w:name w:val="Balloon Text"/>
    <w:basedOn w:val="Normal"/>
    <w:link w:val="BalloonTextChar"/>
    <w:uiPriority w:val="99"/>
    <w:semiHidden/>
    <w:unhideWhenUsed/>
    <w:rsid w:val="00E7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c@teignmouthharbour.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DF</dc:creator>
  <cp:keywords/>
  <dc:description/>
  <cp:lastModifiedBy>karen.dalton-fyfe@outlook.com</cp:lastModifiedBy>
  <cp:revision>2</cp:revision>
  <cp:lastPrinted>2022-03-14T15:37:00Z</cp:lastPrinted>
  <dcterms:created xsi:type="dcterms:W3CDTF">2022-04-29T09:59:00Z</dcterms:created>
  <dcterms:modified xsi:type="dcterms:W3CDTF">2022-04-29T09:59:00Z</dcterms:modified>
</cp:coreProperties>
</file>